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ED73B" w14:textId="77777777" w:rsidR="009242AD" w:rsidRPr="00EA3C44" w:rsidRDefault="009242AD" w:rsidP="009242AD">
      <w:pPr>
        <w:jc w:val="center"/>
        <w:rPr>
          <w:b/>
          <w:color w:val="000000" w:themeColor="text1"/>
          <w:sz w:val="28"/>
          <w:szCs w:val="28"/>
        </w:rPr>
      </w:pPr>
      <w:r w:rsidRPr="00EA3C44">
        <w:rPr>
          <w:b/>
          <w:color w:val="000000" w:themeColor="text1"/>
          <w:sz w:val="28"/>
          <w:szCs w:val="28"/>
        </w:rPr>
        <w:t xml:space="preserve">ОБОСНОВКА НА „ЕВН БЪЛГАРИЯ ТОПЛОФИКАЦИЯ” ЕАД </w:t>
      </w:r>
    </w:p>
    <w:p w14:paraId="6473CBAC" w14:textId="47BD2930" w:rsidR="009242AD" w:rsidRPr="00EA3C44" w:rsidRDefault="009242AD" w:rsidP="009242AD">
      <w:pPr>
        <w:jc w:val="center"/>
        <w:rPr>
          <w:b/>
          <w:color w:val="000000" w:themeColor="text1"/>
          <w:sz w:val="24"/>
          <w:szCs w:val="24"/>
        </w:rPr>
      </w:pPr>
      <w:r w:rsidRPr="00EA3C44">
        <w:rPr>
          <w:b/>
          <w:color w:val="000000" w:themeColor="text1"/>
          <w:sz w:val="28"/>
          <w:szCs w:val="28"/>
        </w:rPr>
        <w:t>ЗА НОВИ ЦЕНИ НА ТОПЛИННА ЕНЕРГИЯ И ЕЛЕКТРИЧЕСКА ЕНЕРГИЯ ОТ КОМБИНИРАНО ПРОИЗВОДСТВО ЗА РЕГУЛАТОРЕН ПЕРИОД В СИЛА ОТ 01.07.202</w:t>
      </w:r>
      <w:r w:rsidR="006D57C2" w:rsidRPr="00EA3C44">
        <w:rPr>
          <w:b/>
          <w:color w:val="000000" w:themeColor="text1"/>
          <w:sz w:val="28"/>
          <w:szCs w:val="28"/>
          <w:lang w:val="en-US"/>
        </w:rPr>
        <w:t>4</w:t>
      </w:r>
      <w:r w:rsidRPr="00EA3C44">
        <w:rPr>
          <w:b/>
          <w:color w:val="000000" w:themeColor="text1"/>
          <w:sz w:val="28"/>
          <w:szCs w:val="28"/>
        </w:rPr>
        <w:t>г.</w:t>
      </w:r>
    </w:p>
    <w:p w14:paraId="49596C23" w14:textId="77777777" w:rsidR="009242AD" w:rsidRPr="0057086A" w:rsidRDefault="009242AD" w:rsidP="009242AD">
      <w:pPr>
        <w:jc w:val="center"/>
        <w:rPr>
          <w:b/>
          <w:color w:val="00B050"/>
          <w:sz w:val="24"/>
          <w:szCs w:val="24"/>
        </w:rPr>
      </w:pPr>
    </w:p>
    <w:p w14:paraId="06964EB7" w14:textId="77777777" w:rsidR="009242AD" w:rsidRPr="0057086A" w:rsidRDefault="009242AD" w:rsidP="009242AD">
      <w:pPr>
        <w:jc w:val="center"/>
        <w:rPr>
          <w:b/>
          <w:color w:val="00B050"/>
          <w:sz w:val="24"/>
          <w:szCs w:val="24"/>
        </w:rPr>
      </w:pPr>
    </w:p>
    <w:p w14:paraId="4F566758" w14:textId="77777777" w:rsidR="009242AD" w:rsidRPr="0057086A" w:rsidRDefault="009242AD" w:rsidP="009242AD">
      <w:pPr>
        <w:jc w:val="center"/>
        <w:rPr>
          <w:b/>
          <w:color w:val="00B050"/>
          <w:sz w:val="24"/>
          <w:szCs w:val="24"/>
        </w:rPr>
      </w:pPr>
    </w:p>
    <w:p w14:paraId="40C782E5" w14:textId="77777777" w:rsidR="009242AD" w:rsidRPr="0057086A" w:rsidRDefault="009242AD" w:rsidP="009242AD">
      <w:pPr>
        <w:jc w:val="center"/>
        <w:rPr>
          <w:b/>
          <w:color w:val="00B050"/>
          <w:sz w:val="24"/>
          <w:szCs w:val="24"/>
        </w:rPr>
      </w:pPr>
    </w:p>
    <w:p w14:paraId="40F5628F" w14:textId="77777777" w:rsidR="009242AD" w:rsidRPr="00EA3C44" w:rsidRDefault="009242AD" w:rsidP="008A3CA0">
      <w:pPr>
        <w:pStyle w:val="Heading1"/>
        <w:keepLines w:val="0"/>
        <w:numPr>
          <w:ilvl w:val="0"/>
          <w:numId w:val="6"/>
        </w:numPr>
        <w:tabs>
          <w:tab w:val="clear" w:pos="369"/>
        </w:tabs>
        <w:spacing w:before="240" w:after="60" w:line="240" w:lineRule="auto"/>
        <w:rPr>
          <w:color w:val="000000" w:themeColor="text1"/>
        </w:rPr>
      </w:pPr>
      <w:r w:rsidRPr="00EA3C44">
        <w:rPr>
          <w:rFonts w:cs="Courier New"/>
          <w:color w:val="000000" w:themeColor="text1"/>
        </w:rPr>
        <w:t>Основание</w:t>
      </w:r>
      <w:r w:rsidRPr="00EA3C44">
        <w:rPr>
          <w:color w:val="000000" w:themeColor="text1"/>
        </w:rPr>
        <w:t xml:space="preserve"> </w:t>
      </w:r>
      <w:r w:rsidRPr="00EA3C44">
        <w:rPr>
          <w:rFonts w:cs="Courier New"/>
          <w:color w:val="000000" w:themeColor="text1"/>
        </w:rPr>
        <w:t>за</w:t>
      </w:r>
      <w:r w:rsidRPr="00EA3C44">
        <w:rPr>
          <w:color w:val="000000" w:themeColor="text1"/>
        </w:rPr>
        <w:t xml:space="preserve"> </w:t>
      </w:r>
      <w:r w:rsidRPr="00EA3C44">
        <w:rPr>
          <w:rFonts w:cs="Courier New"/>
          <w:color w:val="000000" w:themeColor="text1"/>
        </w:rPr>
        <w:t>изготвяне</w:t>
      </w:r>
    </w:p>
    <w:p w14:paraId="20D2D9D9" w14:textId="77777777" w:rsidR="009242AD" w:rsidRPr="00EA3C44" w:rsidRDefault="009242AD" w:rsidP="009242AD">
      <w:pPr>
        <w:pStyle w:val="ListParagraph"/>
        <w:rPr>
          <w:rFonts w:ascii="Frutiger Next for EVN Light" w:hAnsi="Frutiger Next for EVN Light"/>
          <w:b/>
          <w:color w:val="000000" w:themeColor="text1"/>
          <w:sz w:val="24"/>
          <w:szCs w:val="24"/>
          <w:lang w:val="bg-BG"/>
        </w:rPr>
      </w:pPr>
    </w:p>
    <w:p w14:paraId="53FC21C3" w14:textId="77777777" w:rsidR="009242AD" w:rsidRPr="00EA3C44" w:rsidRDefault="009242AD" w:rsidP="00951C7A">
      <w:pPr>
        <w:pStyle w:val="ListParagraph"/>
        <w:spacing w:line="280" w:lineRule="exact"/>
        <w:rPr>
          <w:rFonts w:ascii="Frutiger Next for EVN Light" w:hAnsi="Frutiger Next for EVN Light"/>
          <w:color w:val="000000" w:themeColor="text1"/>
          <w:lang w:val="bg-BG"/>
        </w:rPr>
      </w:pPr>
      <w:r w:rsidRPr="00EA3C44">
        <w:rPr>
          <w:rFonts w:ascii="Frutiger Next for EVN Light" w:hAnsi="Frutiger Next for EVN Light"/>
          <w:color w:val="000000" w:themeColor="text1"/>
          <w:lang w:val="bg-BG"/>
        </w:rPr>
        <w:t>Настоящото заявление е изготвено в съответствие със Закона за енергетиката, Наредба № 5 за регулиране на цените на топлинната енергия (Наредба 5),  Наредба № 1 за регулиране на цените на електрическата енергия (Наредба 1)  и Указания за образуване на цените на топлинната енергия и електрическата енергия от комбинирано производство при регулиране чрез метода „норма на възвръщаемост на капитала“ (Указанията).</w:t>
      </w:r>
    </w:p>
    <w:p w14:paraId="6E963F0D" w14:textId="77777777" w:rsidR="009242AD" w:rsidRPr="00EA3C44" w:rsidRDefault="009242AD" w:rsidP="008A3CA0">
      <w:pPr>
        <w:pStyle w:val="Heading1"/>
        <w:keepLines w:val="0"/>
        <w:numPr>
          <w:ilvl w:val="0"/>
          <w:numId w:val="6"/>
        </w:numPr>
        <w:tabs>
          <w:tab w:val="clear" w:pos="369"/>
        </w:tabs>
        <w:spacing w:before="240" w:after="60" w:line="240" w:lineRule="auto"/>
        <w:rPr>
          <w:color w:val="000000" w:themeColor="text1"/>
        </w:rPr>
      </w:pPr>
      <w:r w:rsidRPr="00EA3C44">
        <w:rPr>
          <w:color w:val="000000" w:themeColor="text1"/>
        </w:rPr>
        <w:t xml:space="preserve">Цел </w:t>
      </w:r>
    </w:p>
    <w:p w14:paraId="655BA101" w14:textId="77777777" w:rsidR="009242AD" w:rsidRPr="00EA3C44" w:rsidRDefault="009242AD" w:rsidP="009242AD">
      <w:pPr>
        <w:pStyle w:val="ListParagraph"/>
        <w:rPr>
          <w:rFonts w:ascii="Frutiger Next for EVN Light" w:hAnsi="Frutiger Next for EVN Light"/>
          <w:color w:val="000000" w:themeColor="text1"/>
          <w:lang w:val="bg-BG"/>
        </w:rPr>
      </w:pPr>
    </w:p>
    <w:p w14:paraId="633C5E18" w14:textId="6E2896AD" w:rsidR="009242AD" w:rsidRPr="00EA3C44" w:rsidRDefault="009242AD" w:rsidP="00951C7A">
      <w:pPr>
        <w:pStyle w:val="ListParagraph"/>
        <w:spacing w:line="280" w:lineRule="exact"/>
        <w:rPr>
          <w:rFonts w:ascii="Frutiger Next for EVN Light" w:hAnsi="Frutiger Next for EVN Light"/>
          <w:color w:val="000000" w:themeColor="text1"/>
          <w:lang w:val="en-US"/>
        </w:rPr>
      </w:pPr>
      <w:r w:rsidRPr="00EA3C44">
        <w:rPr>
          <w:rFonts w:ascii="Frutiger Next for EVN Light" w:hAnsi="Frutiger Next for EVN Light"/>
          <w:color w:val="000000" w:themeColor="text1"/>
          <w:lang w:val="bg-BG"/>
        </w:rPr>
        <w:t>Основна цел на това заявление е да обоснове предложените от дружеството цени на топлинната енергия и електрическата енергия от комбинирано производство за пе</w:t>
      </w:r>
      <w:r w:rsidR="005010E4" w:rsidRPr="00EA3C44">
        <w:rPr>
          <w:rFonts w:ascii="Frutiger Next for EVN Light" w:hAnsi="Frutiger Next for EVN Light"/>
          <w:color w:val="000000" w:themeColor="text1"/>
          <w:lang w:val="bg-BG"/>
        </w:rPr>
        <w:t>риода 01.07.202</w:t>
      </w:r>
      <w:r w:rsidR="006D57C2" w:rsidRPr="00EA3C44">
        <w:rPr>
          <w:rFonts w:ascii="Frutiger Next for EVN Light" w:hAnsi="Frutiger Next for EVN Light"/>
          <w:color w:val="000000" w:themeColor="text1"/>
          <w:lang w:val="en-US"/>
        </w:rPr>
        <w:t>4</w:t>
      </w:r>
      <w:r w:rsidR="005010E4" w:rsidRPr="00EA3C44">
        <w:rPr>
          <w:rFonts w:ascii="Frutiger Next for EVN Light" w:hAnsi="Frutiger Next for EVN Light"/>
          <w:color w:val="000000" w:themeColor="text1"/>
          <w:lang w:val="bg-BG"/>
        </w:rPr>
        <w:t>- 30.06.202</w:t>
      </w:r>
      <w:r w:rsidR="006D57C2" w:rsidRPr="00EA3C44">
        <w:rPr>
          <w:rFonts w:ascii="Frutiger Next for EVN Light" w:hAnsi="Frutiger Next for EVN Light"/>
          <w:color w:val="000000" w:themeColor="text1"/>
          <w:lang w:val="en-US"/>
        </w:rPr>
        <w:t>5</w:t>
      </w:r>
      <w:r w:rsidR="005010E4" w:rsidRPr="00EA3C44">
        <w:rPr>
          <w:rFonts w:ascii="Frutiger Next for EVN Light" w:hAnsi="Frutiger Next for EVN Light"/>
          <w:color w:val="000000" w:themeColor="text1"/>
          <w:lang w:val="bg-BG"/>
        </w:rPr>
        <w:t xml:space="preserve"> г.</w:t>
      </w:r>
    </w:p>
    <w:p w14:paraId="1DF2B149" w14:textId="77777777" w:rsidR="009242AD" w:rsidRPr="00EA3C44" w:rsidRDefault="009242AD" w:rsidP="008A3CA0">
      <w:pPr>
        <w:pStyle w:val="Heading1"/>
        <w:keepLines w:val="0"/>
        <w:numPr>
          <w:ilvl w:val="0"/>
          <w:numId w:val="6"/>
        </w:numPr>
        <w:tabs>
          <w:tab w:val="clear" w:pos="369"/>
        </w:tabs>
        <w:spacing w:before="240" w:after="60" w:line="240" w:lineRule="auto"/>
        <w:rPr>
          <w:color w:val="000000" w:themeColor="text1"/>
        </w:rPr>
      </w:pPr>
      <w:r w:rsidRPr="00EA3C44">
        <w:rPr>
          <w:color w:val="000000" w:themeColor="text1"/>
        </w:rPr>
        <w:t xml:space="preserve">Метод на регулиране </w:t>
      </w:r>
    </w:p>
    <w:p w14:paraId="02880CF3" w14:textId="77777777" w:rsidR="009242AD" w:rsidRPr="00EA3C44" w:rsidRDefault="009242AD" w:rsidP="009242AD">
      <w:pPr>
        <w:rPr>
          <w:color w:val="000000" w:themeColor="text1"/>
        </w:rPr>
      </w:pPr>
    </w:p>
    <w:p w14:paraId="38656812" w14:textId="77777777" w:rsidR="009242AD" w:rsidRPr="00EA3C44" w:rsidRDefault="009242AD" w:rsidP="009242AD">
      <w:pPr>
        <w:pStyle w:val="ListParagraph"/>
        <w:rPr>
          <w:rFonts w:ascii="Frutiger Next for EVN Light" w:hAnsi="Frutiger Next for EVN Light"/>
          <w:color w:val="000000" w:themeColor="text1"/>
          <w:lang w:val="bg-BG"/>
        </w:rPr>
      </w:pPr>
      <w:r w:rsidRPr="00EA3C44">
        <w:rPr>
          <w:rFonts w:ascii="Frutiger Next for EVN Light" w:hAnsi="Frutiger Next for EVN Light"/>
          <w:color w:val="000000" w:themeColor="text1"/>
          <w:lang w:val="bg-BG"/>
        </w:rPr>
        <w:t xml:space="preserve">Съгласно чл. 3 ал. 2, т.1 от Наредба №5 за регулиране на цените на топлинната енергия към заявлението за утвърждаване на цени, дружеството е приложело метода „норма на възвръщаемост на капитала“. </w:t>
      </w:r>
    </w:p>
    <w:p w14:paraId="2556514F" w14:textId="77777777" w:rsidR="009242AD" w:rsidRPr="00EA3C44" w:rsidRDefault="009242AD" w:rsidP="009242AD">
      <w:pPr>
        <w:pStyle w:val="ListParagraph"/>
        <w:rPr>
          <w:rFonts w:ascii="Frutiger Next for EVN Light" w:hAnsi="Frutiger Next for EVN Light"/>
          <w:color w:val="000000" w:themeColor="text1"/>
          <w:lang w:val="bg-BG"/>
        </w:rPr>
      </w:pPr>
    </w:p>
    <w:p w14:paraId="7B7A1B36" w14:textId="77777777" w:rsidR="009242AD" w:rsidRPr="00EA3C44" w:rsidRDefault="009242AD" w:rsidP="009242AD">
      <w:pPr>
        <w:pStyle w:val="ListParagraph"/>
        <w:rPr>
          <w:rFonts w:ascii="Frutiger Next for EVN Light" w:hAnsi="Frutiger Next for EVN Light"/>
          <w:color w:val="000000" w:themeColor="text1"/>
          <w:lang w:val="bg-BG"/>
        </w:rPr>
      </w:pPr>
      <w:r w:rsidRPr="00EA3C44">
        <w:rPr>
          <w:rFonts w:ascii="Frutiger Next for EVN Light" w:hAnsi="Frutiger Next for EVN Light"/>
          <w:color w:val="000000" w:themeColor="text1"/>
          <w:lang w:val="bg-BG"/>
        </w:rPr>
        <w:t>Съгласно чл.7 от Наредба 5, необходимите годишни приходи за дейност разпределение трябва да включват признатите от комисията икономически обосновани разходи и възвръщаемост на капитала, изчислени по следната формула:</w:t>
      </w:r>
    </w:p>
    <w:p w14:paraId="1672ECD1" w14:textId="77777777" w:rsidR="009242AD" w:rsidRPr="00EA3C44" w:rsidRDefault="009242AD" w:rsidP="009242AD">
      <w:pPr>
        <w:pStyle w:val="ListParagraph"/>
        <w:rPr>
          <w:rFonts w:ascii="Frutiger Next for EVN Light" w:hAnsi="Frutiger Next for EVN Light"/>
          <w:color w:val="000000" w:themeColor="text1"/>
          <w:lang w:val="bg-BG"/>
        </w:rPr>
      </w:pPr>
    </w:p>
    <w:p w14:paraId="51F3CDB0" w14:textId="77777777" w:rsidR="009242AD" w:rsidRPr="00EA3C44" w:rsidRDefault="009242AD" w:rsidP="009242AD">
      <w:pPr>
        <w:pStyle w:val="ListParagraph"/>
        <w:rPr>
          <w:rFonts w:ascii="Frutiger Next for EVN Light" w:hAnsi="Frutiger Next for EVN Light"/>
          <w:color w:val="000000" w:themeColor="text1"/>
          <w:lang w:val="bg-BG"/>
        </w:rPr>
      </w:pPr>
      <w:r w:rsidRPr="00EA3C44">
        <w:rPr>
          <w:rFonts w:ascii="Frutiger Next for EVN Light" w:hAnsi="Frutiger Next for EVN Light"/>
          <w:color w:val="000000" w:themeColor="text1"/>
          <w:lang w:val="bg-BG"/>
        </w:rPr>
        <w:t xml:space="preserve"> НП = Р + (РБА * НВ),</w:t>
      </w:r>
    </w:p>
    <w:p w14:paraId="1126C8E2" w14:textId="77777777" w:rsidR="009242AD" w:rsidRPr="00EA3C44" w:rsidRDefault="009242AD" w:rsidP="009242AD">
      <w:pPr>
        <w:pStyle w:val="ListParagraph"/>
        <w:rPr>
          <w:rFonts w:ascii="Frutiger Next for EVN Light" w:hAnsi="Frutiger Next for EVN Light"/>
          <w:color w:val="000000" w:themeColor="text1"/>
          <w:lang w:val="bg-BG"/>
        </w:rPr>
      </w:pPr>
    </w:p>
    <w:p w14:paraId="17F547D1" w14:textId="77777777" w:rsidR="009242AD" w:rsidRPr="00EA3C44" w:rsidRDefault="009242AD" w:rsidP="009242AD">
      <w:pPr>
        <w:pStyle w:val="ListParagraph"/>
        <w:rPr>
          <w:rFonts w:ascii="Frutiger Next for EVN Light" w:hAnsi="Frutiger Next for EVN Light"/>
          <w:color w:val="000000" w:themeColor="text1"/>
          <w:lang w:val="bg-BG"/>
        </w:rPr>
      </w:pPr>
      <w:r w:rsidRPr="00EA3C44">
        <w:rPr>
          <w:rFonts w:ascii="Frutiger Next for EVN Light" w:hAnsi="Frutiger Next for EVN Light"/>
          <w:color w:val="000000" w:themeColor="text1"/>
          <w:lang w:val="bg-BG"/>
        </w:rPr>
        <w:t xml:space="preserve"> където:</w:t>
      </w:r>
    </w:p>
    <w:p w14:paraId="37D0DBDE" w14:textId="77777777" w:rsidR="009242AD" w:rsidRPr="00EA3C44" w:rsidRDefault="009242AD" w:rsidP="009242AD">
      <w:pPr>
        <w:pStyle w:val="ListParagraph"/>
        <w:rPr>
          <w:rFonts w:ascii="Frutiger Next for EVN Light" w:hAnsi="Frutiger Next for EVN Light"/>
          <w:color w:val="000000" w:themeColor="text1"/>
          <w:lang w:val="bg-BG"/>
        </w:rPr>
      </w:pPr>
      <w:r w:rsidRPr="00EA3C44">
        <w:rPr>
          <w:rFonts w:ascii="Frutiger Next for EVN Light" w:hAnsi="Frutiger Next for EVN Light"/>
          <w:color w:val="000000" w:themeColor="text1"/>
          <w:lang w:val="bg-BG"/>
        </w:rPr>
        <w:t xml:space="preserve"> НП са необходимите годишни приходи;</w:t>
      </w:r>
    </w:p>
    <w:p w14:paraId="628F9D4D" w14:textId="77777777" w:rsidR="009242AD" w:rsidRPr="00EA3C44" w:rsidRDefault="009242AD" w:rsidP="009242AD">
      <w:pPr>
        <w:pStyle w:val="ListParagraph"/>
        <w:rPr>
          <w:rFonts w:ascii="Frutiger Next for EVN Light" w:hAnsi="Frutiger Next for EVN Light"/>
          <w:color w:val="000000" w:themeColor="text1"/>
          <w:lang w:val="bg-BG"/>
        </w:rPr>
      </w:pPr>
      <w:r w:rsidRPr="00EA3C44">
        <w:rPr>
          <w:rFonts w:ascii="Frutiger Next for EVN Light" w:hAnsi="Frutiger Next for EVN Light"/>
          <w:color w:val="000000" w:themeColor="text1"/>
          <w:lang w:val="bg-BG"/>
        </w:rPr>
        <w:t xml:space="preserve"> Р - годишните разходи за дейността по лицензията;</w:t>
      </w:r>
    </w:p>
    <w:p w14:paraId="3A928204" w14:textId="77777777" w:rsidR="009242AD" w:rsidRPr="00EA3C44" w:rsidRDefault="009242AD" w:rsidP="009242AD">
      <w:pPr>
        <w:pStyle w:val="ListParagraph"/>
        <w:rPr>
          <w:rFonts w:ascii="Frutiger Next for EVN Light" w:hAnsi="Frutiger Next for EVN Light"/>
          <w:color w:val="000000" w:themeColor="text1"/>
          <w:lang w:val="bg-BG"/>
        </w:rPr>
      </w:pPr>
      <w:r w:rsidRPr="00EA3C44">
        <w:rPr>
          <w:rFonts w:ascii="Frutiger Next for EVN Light" w:hAnsi="Frutiger Next for EVN Light"/>
          <w:color w:val="000000" w:themeColor="text1"/>
          <w:lang w:val="bg-BG"/>
        </w:rPr>
        <w:t xml:space="preserve"> РБА - призната от комисията регулаторна база на активите;</w:t>
      </w:r>
    </w:p>
    <w:p w14:paraId="2192B4A3" w14:textId="77777777" w:rsidR="009242AD" w:rsidRPr="00EA3C44" w:rsidRDefault="009242AD" w:rsidP="009242AD">
      <w:pPr>
        <w:pStyle w:val="ListParagraph"/>
        <w:rPr>
          <w:rFonts w:ascii="Frutiger Next for EVN Light" w:hAnsi="Frutiger Next for EVN Light"/>
          <w:color w:val="000000" w:themeColor="text1"/>
          <w:lang w:val="bg-BG"/>
        </w:rPr>
      </w:pPr>
      <w:r w:rsidRPr="00EA3C44">
        <w:rPr>
          <w:rFonts w:ascii="Frutiger Next for EVN Light" w:hAnsi="Frutiger Next for EVN Light"/>
          <w:color w:val="000000" w:themeColor="text1"/>
          <w:lang w:val="bg-BG"/>
        </w:rPr>
        <w:t xml:space="preserve"> НВ - определената от комисията норма на възвръщаемост на капитала за регулаторния период.</w:t>
      </w:r>
    </w:p>
    <w:p w14:paraId="3174E9F0" w14:textId="77777777" w:rsidR="009242AD" w:rsidRPr="00EA3C44" w:rsidRDefault="009242AD" w:rsidP="008A3CA0">
      <w:pPr>
        <w:pStyle w:val="Heading1"/>
        <w:keepLines w:val="0"/>
        <w:numPr>
          <w:ilvl w:val="0"/>
          <w:numId w:val="6"/>
        </w:numPr>
        <w:tabs>
          <w:tab w:val="clear" w:pos="369"/>
        </w:tabs>
        <w:spacing w:before="240" w:after="60" w:line="240" w:lineRule="auto"/>
        <w:rPr>
          <w:color w:val="000000" w:themeColor="text1"/>
        </w:rPr>
      </w:pPr>
      <w:r w:rsidRPr="00EA3C44">
        <w:rPr>
          <w:color w:val="000000" w:themeColor="text1"/>
        </w:rPr>
        <w:t xml:space="preserve">Структура на заявлението </w:t>
      </w:r>
    </w:p>
    <w:p w14:paraId="348ED403" w14:textId="77777777" w:rsidR="009242AD" w:rsidRPr="0057086A" w:rsidRDefault="009242AD" w:rsidP="009242AD"/>
    <w:p w14:paraId="666847A3" w14:textId="42288F42" w:rsidR="009242AD" w:rsidRPr="0057086A" w:rsidRDefault="009242AD" w:rsidP="008A3CA0">
      <w:pPr>
        <w:pStyle w:val="Heading2"/>
        <w:keepLines w:val="0"/>
        <w:numPr>
          <w:ilvl w:val="1"/>
          <w:numId w:val="6"/>
        </w:numPr>
        <w:tabs>
          <w:tab w:val="clear" w:pos="567"/>
        </w:tabs>
        <w:spacing w:before="240" w:line="240" w:lineRule="auto"/>
        <w:rPr>
          <w:rFonts w:cs="Courier New"/>
          <w:color w:val="auto"/>
        </w:rPr>
      </w:pPr>
      <w:r w:rsidRPr="0057086A">
        <w:rPr>
          <w:rFonts w:cs="Courier New"/>
          <w:color w:val="auto"/>
        </w:rPr>
        <w:t>Детайлна</w:t>
      </w:r>
      <w:r w:rsidRPr="0057086A">
        <w:rPr>
          <w:color w:val="auto"/>
        </w:rPr>
        <w:t xml:space="preserve"> </w:t>
      </w:r>
      <w:r w:rsidRPr="0057086A">
        <w:rPr>
          <w:rFonts w:cs="Courier New"/>
          <w:color w:val="auto"/>
        </w:rPr>
        <w:t>обосновка</w:t>
      </w:r>
      <w:r w:rsidRPr="0057086A">
        <w:rPr>
          <w:color w:val="auto"/>
        </w:rPr>
        <w:t xml:space="preserve"> </w:t>
      </w:r>
      <w:r w:rsidRPr="0057086A">
        <w:rPr>
          <w:rFonts w:cs="Courier New"/>
          <w:color w:val="auto"/>
        </w:rPr>
        <w:t>на</w:t>
      </w:r>
      <w:r w:rsidRPr="0057086A">
        <w:rPr>
          <w:color w:val="auto"/>
        </w:rPr>
        <w:t xml:space="preserve"> </w:t>
      </w:r>
      <w:r w:rsidRPr="0057086A">
        <w:rPr>
          <w:rFonts w:cs="Courier New"/>
          <w:color w:val="auto"/>
        </w:rPr>
        <w:t>всички</w:t>
      </w:r>
      <w:r w:rsidRPr="0057086A">
        <w:rPr>
          <w:color w:val="auto"/>
        </w:rPr>
        <w:t xml:space="preserve"> </w:t>
      </w:r>
      <w:r w:rsidRPr="0057086A">
        <w:rPr>
          <w:rFonts w:cs="Courier New"/>
          <w:color w:val="auto"/>
        </w:rPr>
        <w:t>ценообразуващи</w:t>
      </w:r>
      <w:r w:rsidRPr="0057086A">
        <w:rPr>
          <w:color w:val="auto"/>
        </w:rPr>
        <w:t xml:space="preserve"> </w:t>
      </w:r>
      <w:r w:rsidRPr="0057086A">
        <w:rPr>
          <w:rFonts w:cs="Courier New"/>
          <w:color w:val="auto"/>
        </w:rPr>
        <w:t>параметри</w:t>
      </w:r>
    </w:p>
    <w:p w14:paraId="2BF5E0A0" w14:textId="6070E720" w:rsidR="0039463C" w:rsidRDefault="0039463C" w:rsidP="008A3CA0">
      <w:pPr>
        <w:pStyle w:val="Heading2"/>
        <w:keepLines w:val="0"/>
        <w:numPr>
          <w:ilvl w:val="1"/>
          <w:numId w:val="6"/>
        </w:numPr>
        <w:tabs>
          <w:tab w:val="clear" w:pos="567"/>
        </w:tabs>
        <w:spacing w:before="240" w:line="240" w:lineRule="auto"/>
        <w:rPr>
          <w:rFonts w:cs="Courier New"/>
          <w:color w:val="auto"/>
        </w:rPr>
      </w:pPr>
      <w:r w:rsidRPr="0057086A">
        <w:rPr>
          <w:rFonts w:cs="Courier New"/>
          <w:color w:val="auto"/>
        </w:rPr>
        <w:t>Калкулация на необходими приходи</w:t>
      </w:r>
    </w:p>
    <w:p w14:paraId="59CFA5A6" w14:textId="315ED53E" w:rsidR="00155BBB" w:rsidRPr="00155BBB" w:rsidRDefault="00155BBB" w:rsidP="00155BBB">
      <w:pPr>
        <w:pStyle w:val="Heading2"/>
        <w:keepLines w:val="0"/>
        <w:numPr>
          <w:ilvl w:val="1"/>
          <w:numId w:val="6"/>
        </w:numPr>
        <w:tabs>
          <w:tab w:val="clear" w:pos="567"/>
        </w:tabs>
        <w:spacing w:before="240" w:line="240" w:lineRule="auto"/>
        <w:rPr>
          <w:rFonts w:cs="Courier New"/>
          <w:color w:val="auto"/>
        </w:rPr>
      </w:pPr>
      <w:r>
        <w:rPr>
          <w:rFonts w:cs="Courier New"/>
          <w:color w:val="auto"/>
        </w:rPr>
        <w:t>Калкулация на корекции</w:t>
      </w:r>
      <w:r w:rsidR="006044EF">
        <w:rPr>
          <w:rFonts w:cs="Courier New"/>
          <w:color w:val="auto"/>
        </w:rPr>
        <w:t xml:space="preserve"> </w:t>
      </w:r>
      <w:r w:rsidR="006044EF" w:rsidRPr="006044EF">
        <w:rPr>
          <w:rFonts w:cs="Courier New"/>
          <w:color w:val="auto"/>
        </w:rPr>
        <w:t>съгласно чл. 24а, ал.1 от НРЦЕЕ и чл. 8, ал.10 от НР</w:t>
      </w:r>
      <w:r w:rsidR="006044EF">
        <w:rPr>
          <w:rFonts w:cs="Courier New"/>
          <w:color w:val="auto"/>
        </w:rPr>
        <w:t>ЦТЕ</w:t>
      </w:r>
      <w:r>
        <w:rPr>
          <w:rFonts w:cs="Courier New"/>
          <w:color w:val="auto"/>
        </w:rPr>
        <w:t xml:space="preserve"> </w:t>
      </w:r>
    </w:p>
    <w:p w14:paraId="5EF2834C" w14:textId="0D43B914" w:rsidR="009242AD" w:rsidRPr="0057086A" w:rsidRDefault="0039463C" w:rsidP="008A3CA0">
      <w:pPr>
        <w:pStyle w:val="Heading2"/>
        <w:keepLines w:val="0"/>
        <w:numPr>
          <w:ilvl w:val="1"/>
          <w:numId w:val="6"/>
        </w:numPr>
        <w:tabs>
          <w:tab w:val="clear" w:pos="567"/>
        </w:tabs>
        <w:spacing w:before="240" w:line="240" w:lineRule="auto"/>
        <w:rPr>
          <w:rFonts w:cs="Courier New"/>
          <w:color w:val="auto"/>
        </w:rPr>
      </w:pPr>
      <w:r w:rsidRPr="0057086A">
        <w:rPr>
          <w:rFonts w:cs="Courier New"/>
          <w:color w:val="auto"/>
        </w:rPr>
        <w:t>Предложение за тарифна структура</w:t>
      </w:r>
    </w:p>
    <w:p w14:paraId="62E5D13F" w14:textId="77777777" w:rsidR="009242AD" w:rsidRPr="0057086A" w:rsidRDefault="009242AD" w:rsidP="008A3CA0">
      <w:pPr>
        <w:pStyle w:val="Heading2"/>
        <w:keepLines w:val="0"/>
        <w:numPr>
          <w:ilvl w:val="1"/>
          <w:numId w:val="6"/>
        </w:numPr>
        <w:tabs>
          <w:tab w:val="clear" w:pos="567"/>
        </w:tabs>
        <w:spacing w:before="240" w:line="240" w:lineRule="auto"/>
        <w:rPr>
          <w:rFonts w:cs="Courier New"/>
          <w:color w:val="auto"/>
        </w:rPr>
      </w:pPr>
      <w:r w:rsidRPr="0057086A">
        <w:rPr>
          <w:rFonts w:cs="Courier New"/>
          <w:color w:val="auto"/>
        </w:rPr>
        <w:t>Приложения:</w:t>
      </w:r>
    </w:p>
    <w:p w14:paraId="037051DD" w14:textId="45655C02" w:rsidR="00D3113E" w:rsidRPr="007C2BE6" w:rsidRDefault="009242AD" w:rsidP="00D3113E">
      <w:pPr>
        <w:pStyle w:val="Heading3"/>
        <w:numPr>
          <w:ilvl w:val="0"/>
          <w:numId w:val="0"/>
        </w:numPr>
        <w:spacing w:before="240" w:line="240" w:lineRule="auto"/>
        <w:ind w:left="1559"/>
        <w:rPr>
          <w:color w:val="FF0000"/>
          <w:szCs w:val="19"/>
        </w:rPr>
      </w:pPr>
      <w:r w:rsidRPr="009B118E">
        <w:rPr>
          <w:color w:val="000000" w:themeColor="text1"/>
          <w:szCs w:val="19"/>
        </w:rPr>
        <w:t xml:space="preserve">Приложение 2.1.1 – </w:t>
      </w:r>
      <w:r w:rsidR="00D3113E" w:rsidRPr="009B118E">
        <w:rPr>
          <w:color w:val="000000" w:themeColor="text1"/>
          <w:szCs w:val="19"/>
        </w:rPr>
        <w:t>Отчетна информация от „ЕВН Б</w:t>
      </w:r>
      <w:r w:rsidR="00FC6D18" w:rsidRPr="009B118E">
        <w:rPr>
          <w:color w:val="000000" w:themeColor="text1"/>
          <w:szCs w:val="19"/>
        </w:rPr>
        <w:t>ългария Топлофикация“ ЕАД за 202</w:t>
      </w:r>
      <w:r w:rsidR="009B118E" w:rsidRPr="009B118E">
        <w:rPr>
          <w:color w:val="000000" w:themeColor="text1"/>
          <w:szCs w:val="19"/>
        </w:rPr>
        <w:t>3</w:t>
      </w:r>
      <w:r w:rsidR="00D3113E" w:rsidRPr="009B118E">
        <w:rPr>
          <w:color w:val="000000" w:themeColor="text1"/>
          <w:szCs w:val="19"/>
        </w:rPr>
        <w:t xml:space="preserve">г. и прогнозна информация за ценовия период </w:t>
      </w:r>
      <w:bookmarkStart w:id="0" w:name="_Hlk130121840"/>
      <w:r w:rsidR="00D3113E" w:rsidRPr="009B118E">
        <w:rPr>
          <w:color w:val="000000" w:themeColor="text1"/>
          <w:szCs w:val="19"/>
        </w:rPr>
        <w:t>01.07.202</w:t>
      </w:r>
      <w:r w:rsidR="009B118E" w:rsidRPr="009B118E">
        <w:rPr>
          <w:color w:val="000000" w:themeColor="text1"/>
          <w:szCs w:val="19"/>
        </w:rPr>
        <w:t>4</w:t>
      </w:r>
      <w:r w:rsidR="00D3113E" w:rsidRPr="009B118E">
        <w:rPr>
          <w:color w:val="000000" w:themeColor="text1"/>
          <w:szCs w:val="19"/>
        </w:rPr>
        <w:t>г. – 30.06.202</w:t>
      </w:r>
      <w:r w:rsidR="009B118E" w:rsidRPr="009B118E">
        <w:rPr>
          <w:color w:val="000000" w:themeColor="text1"/>
          <w:szCs w:val="19"/>
        </w:rPr>
        <w:t>5</w:t>
      </w:r>
      <w:r w:rsidR="00D3113E" w:rsidRPr="009B118E">
        <w:rPr>
          <w:color w:val="000000" w:themeColor="text1"/>
          <w:szCs w:val="19"/>
        </w:rPr>
        <w:t>г</w:t>
      </w:r>
      <w:bookmarkEnd w:id="0"/>
      <w:r w:rsidR="00D3113E" w:rsidRPr="009B118E">
        <w:rPr>
          <w:color w:val="000000" w:themeColor="text1"/>
          <w:szCs w:val="19"/>
        </w:rPr>
        <w:t xml:space="preserve">., във форма и съдържание съгласно справки от № 1 до № 9 на приложение (модел) за лицензианти към Указания за образуване на цените на топлинната енергия и на електрическата енергия от </w:t>
      </w:r>
      <w:r w:rsidR="00D3113E" w:rsidRPr="009B118E">
        <w:rPr>
          <w:color w:val="000000" w:themeColor="text1"/>
          <w:szCs w:val="19"/>
        </w:rPr>
        <w:lastRenderedPageBreak/>
        <w:t xml:space="preserve">комбинирано производство при регулиране чрез метода „норма на възвръщаемост на капитала“ </w:t>
      </w:r>
    </w:p>
    <w:p w14:paraId="035D3C57" w14:textId="5D1A4FC8" w:rsidR="009242AD" w:rsidRPr="009B118E" w:rsidRDefault="009242AD" w:rsidP="00D3113E">
      <w:pPr>
        <w:pStyle w:val="Heading3"/>
        <w:numPr>
          <w:ilvl w:val="0"/>
          <w:numId w:val="0"/>
        </w:numPr>
        <w:spacing w:before="240" w:line="240" w:lineRule="auto"/>
        <w:ind w:left="1559"/>
        <w:rPr>
          <w:color w:val="000000" w:themeColor="text1"/>
          <w:szCs w:val="19"/>
        </w:rPr>
      </w:pPr>
      <w:r w:rsidRPr="009B118E">
        <w:rPr>
          <w:color w:val="000000" w:themeColor="text1"/>
          <w:szCs w:val="19"/>
        </w:rPr>
        <w:t xml:space="preserve">Приложение 2.1.2 – </w:t>
      </w:r>
      <w:r w:rsidR="00FC6D18" w:rsidRPr="009B118E">
        <w:rPr>
          <w:color w:val="000000" w:themeColor="text1"/>
          <w:szCs w:val="19"/>
        </w:rPr>
        <w:t>Приложения към ценовия модел - лицензиант</w:t>
      </w:r>
    </w:p>
    <w:p w14:paraId="4608CE05" w14:textId="74078B1F" w:rsidR="009242AD" w:rsidRPr="009B118E" w:rsidRDefault="009242AD" w:rsidP="00B62733">
      <w:pPr>
        <w:pStyle w:val="Heading3"/>
        <w:numPr>
          <w:ilvl w:val="0"/>
          <w:numId w:val="0"/>
        </w:numPr>
        <w:tabs>
          <w:tab w:val="clear" w:pos="709"/>
        </w:tabs>
        <w:spacing w:before="240" w:line="240" w:lineRule="auto"/>
        <w:ind w:left="1559"/>
        <w:rPr>
          <w:color w:val="000000" w:themeColor="text1"/>
          <w:szCs w:val="19"/>
        </w:rPr>
      </w:pPr>
      <w:r w:rsidRPr="009B118E">
        <w:rPr>
          <w:color w:val="000000" w:themeColor="text1"/>
          <w:szCs w:val="19"/>
        </w:rPr>
        <w:t xml:space="preserve">Приложение 2.1.3 – </w:t>
      </w:r>
      <w:r w:rsidR="00FC6D18" w:rsidRPr="009B118E">
        <w:rPr>
          <w:color w:val="000000" w:themeColor="text1"/>
          <w:szCs w:val="19"/>
        </w:rPr>
        <w:t>Таблици по ЕССО</w:t>
      </w:r>
    </w:p>
    <w:p w14:paraId="5A88B99B" w14:textId="5A6D1B0F" w:rsidR="00887045" w:rsidRPr="007C2BE6" w:rsidRDefault="00887045" w:rsidP="00226ECF">
      <w:pPr>
        <w:pStyle w:val="Heading3"/>
        <w:numPr>
          <w:ilvl w:val="0"/>
          <w:numId w:val="0"/>
        </w:numPr>
        <w:tabs>
          <w:tab w:val="clear" w:pos="709"/>
        </w:tabs>
        <w:spacing w:before="240" w:line="240" w:lineRule="auto"/>
        <w:ind w:left="1559"/>
        <w:rPr>
          <w:color w:val="FF0000"/>
          <w:szCs w:val="19"/>
        </w:rPr>
      </w:pPr>
      <w:r w:rsidRPr="009B118E">
        <w:rPr>
          <w:color w:val="000000" w:themeColor="text1"/>
          <w:szCs w:val="19"/>
        </w:rPr>
        <w:t xml:space="preserve">Приложение 2.1.4 – </w:t>
      </w:r>
      <w:r w:rsidR="00226ECF" w:rsidRPr="009B118E">
        <w:rPr>
          <w:color w:val="000000" w:themeColor="text1"/>
          <w:szCs w:val="19"/>
        </w:rPr>
        <w:t>Отчетна информация от „ЕВН България Топлофикация“ ЕАД за 202</w:t>
      </w:r>
      <w:r w:rsidR="009B118E">
        <w:rPr>
          <w:color w:val="000000" w:themeColor="text1"/>
          <w:szCs w:val="19"/>
        </w:rPr>
        <w:t>3</w:t>
      </w:r>
      <w:r w:rsidR="00226ECF" w:rsidRPr="009B118E">
        <w:rPr>
          <w:color w:val="000000" w:themeColor="text1"/>
          <w:szCs w:val="19"/>
        </w:rPr>
        <w:t>г. и за ценовия период 01.07.202</w:t>
      </w:r>
      <w:r w:rsidR="009B118E">
        <w:rPr>
          <w:color w:val="000000" w:themeColor="text1"/>
          <w:szCs w:val="19"/>
        </w:rPr>
        <w:t>3</w:t>
      </w:r>
      <w:r w:rsidR="00226ECF" w:rsidRPr="009B118E">
        <w:rPr>
          <w:color w:val="000000" w:themeColor="text1"/>
          <w:szCs w:val="19"/>
        </w:rPr>
        <w:t>г. – 30.06.202</w:t>
      </w:r>
      <w:r w:rsidR="009B118E">
        <w:rPr>
          <w:color w:val="000000" w:themeColor="text1"/>
          <w:szCs w:val="19"/>
        </w:rPr>
        <w:t>4</w:t>
      </w:r>
      <w:r w:rsidR="00226ECF" w:rsidRPr="009B118E">
        <w:rPr>
          <w:color w:val="000000" w:themeColor="text1"/>
          <w:szCs w:val="19"/>
        </w:rPr>
        <w:t xml:space="preserve">г., във форма и съдържание съгласно справки от № 1 до № 9 на приложение (модел) за лицензианти към Указания за образуване на цените на топлинната енергия и на електрическата енергия от комбинирано производство при регулиране чрез метода „норма на възвръщаемост на капитала“ </w:t>
      </w:r>
    </w:p>
    <w:p w14:paraId="60711002" w14:textId="77777777" w:rsidR="00887045" w:rsidRPr="0057086A" w:rsidRDefault="00887045" w:rsidP="00887045"/>
    <w:p w14:paraId="5AD45F52" w14:textId="77777777" w:rsidR="009242AD" w:rsidRPr="0057086A" w:rsidRDefault="009242AD" w:rsidP="00226ECF">
      <w:pPr>
        <w:pStyle w:val="Heading1"/>
        <w:keepLines w:val="0"/>
        <w:numPr>
          <w:ilvl w:val="0"/>
          <w:numId w:val="12"/>
        </w:numPr>
        <w:tabs>
          <w:tab w:val="clear" w:pos="369"/>
        </w:tabs>
        <w:spacing w:before="240" w:after="60" w:line="240" w:lineRule="auto"/>
        <w:rPr>
          <w:rFonts w:cs="Courier New"/>
        </w:rPr>
      </w:pPr>
      <w:r w:rsidRPr="0057086A">
        <w:t>Ц</w:t>
      </w:r>
      <w:r w:rsidRPr="0057086A">
        <w:rPr>
          <w:rFonts w:cs="Courier New"/>
        </w:rPr>
        <w:t>енообразуващи</w:t>
      </w:r>
      <w:r w:rsidRPr="0057086A">
        <w:t xml:space="preserve"> </w:t>
      </w:r>
      <w:r w:rsidRPr="0057086A">
        <w:rPr>
          <w:rFonts w:cs="Courier New"/>
        </w:rPr>
        <w:t>параметри</w:t>
      </w:r>
    </w:p>
    <w:p w14:paraId="2059ADE6" w14:textId="77777777" w:rsidR="009242AD" w:rsidRPr="0057086A" w:rsidRDefault="009242AD" w:rsidP="009242AD"/>
    <w:p w14:paraId="2B71139E" w14:textId="77777777" w:rsidR="009242AD" w:rsidRPr="0057086A" w:rsidRDefault="009242AD" w:rsidP="009242AD">
      <w:pPr>
        <w:ind w:left="709"/>
        <w:rPr>
          <w:color w:val="000000" w:themeColor="text1"/>
        </w:rPr>
      </w:pPr>
      <w:r w:rsidRPr="0057086A">
        <w:rPr>
          <w:color w:val="000000" w:themeColor="text1"/>
        </w:rPr>
        <w:t>Параметрите за ценообразуване са калкулирани в съответствие с Наредба № 5 за регулиране на цените на топлинната енергия и Указания за образуване на цените на топлинната енергия и електрическата енергия от комбинирано производство при регулиране чрез метода „норма на възвръщаемост на капитала“ при следните допускания:</w:t>
      </w:r>
    </w:p>
    <w:p w14:paraId="2C0A5DAE" w14:textId="64392680" w:rsidR="009242AD" w:rsidRPr="0057086A" w:rsidRDefault="009242AD" w:rsidP="00E23C22">
      <w:pPr>
        <w:pStyle w:val="Heading3"/>
        <w:numPr>
          <w:ilvl w:val="0"/>
          <w:numId w:val="37"/>
        </w:numPr>
        <w:tabs>
          <w:tab w:val="clear" w:pos="709"/>
        </w:tabs>
        <w:spacing w:before="240" w:line="240" w:lineRule="auto"/>
        <w:rPr>
          <w:color w:val="000000" w:themeColor="text1"/>
          <w:szCs w:val="19"/>
        </w:rPr>
      </w:pPr>
      <w:r w:rsidRPr="0057086A">
        <w:rPr>
          <w:color w:val="000000" w:themeColor="text1"/>
          <w:szCs w:val="19"/>
        </w:rPr>
        <w:t>Регулаторен период от 01.07.202</w:t>
      </w:r>
      <w:r w:rsidR="00F1145E">
        <w:rPr>
          <w:color w:val="000000" w:themeColor="text1"/>
          <w:szCs w:val="19"/>
          <w:lang w:val="en-US"/>
        </w:rPr>
        <w:t>4</w:t>
      </w:r>
      <w:r w:rsidRPr="0057086A">
        <w:rPr>
          <w:color w:val="000000" w:themeColor="text1"/>
          <w:szCs w:val="19"/>
        </w:rPr>
        <w:t xml:space="preserve"> – 30.06.202</w:t>
      </w:r>
      <w:r w:rsidR="00F1145E">
        <w:rPr>
          <w:color w:val="000000" w:themeColor="text1"/>
          <w:szCs w:val="19"/>
          <w:lang w:val="en-US"/>
        </w:rPr>
        <w:t>5</w:t>
      </w:r>
      <w:r w:rsidRPr="0057086A">
        <w:rPr>
          <w:color w:val="000000" w:themeColor="text1"/>
          <w:szCs w:val="19"/>
        </w:rPr>
        <w:t xml:space="preserve"> г.;</w:t>
      </w:r>
    </w:p>
    <w:p w14:paraId="6D0E75EB" w14:textId="036D2C90" w:rsidR="00170A65" w:rsidRPr="0057086A" w:rsidRDefault="009242AD" w:rsidP="00E23C22">
      <w:pPr>
        <w:pStyle w:val="Heading3"/>
        <w:numPr>
          <w:ilvl w:val="0"/>
          <w:numId w:val="37"/>
        </w:numPr>
        <w:tabs>
          <w:tab w:val="clear" w:pos="709"/>
        </w:tabs>
        <w:spacing w:before="240" w:line="240" w:lineRule="auto"/>
        <w:rPr>
          <w:strike/>
          <w:color w:val="FF0000"/>
          <w:szCs w:val="19"/>
        </w:rPr>
      </w:pPr>
      <w:r w:rsidRPr="0057086A">
        <w:rPr>
          <w:color w:val="000000" w:themeColor="text1"/>
          <w:szCs w:val="19"/>
        </w:rPr>
        <w:t xml:space="preserve">Цена на природен газ </w:t>
      </w:r>
      <w:r w:rsidR="000F02B3" w:rsidRPr="0057086A">
        <w:rPr>
          <w:color w:val="000000" w:themeColor="text1"/>
          <w:szCs w:val="19"/>
        </w:rPr>
        <w:t>–</w:t>
      </w:r>
      <w:r w:rsidR="00D039D9" w:rsidRPr="0057086A">
        <w:rPr>
          <w:color w:val="000000" w:themeColor="text1"/>
          <w:szCs w:val="19"/>
        </w:rPr>
        <w:t xml:space="preserve"> </w:t>
      </w:r>
      <w:r w:rsidR="000F02B3" w:rsidRPr="0057086A">
        <w:rPr>
          <w:color w:val="000000" w:themeColor="text1"/>
          <w:szCs w:val="19"/>
        </w:rPr>
        <w:t xml:space="preserve">разходите за основно гориво природен газа са </w:t>
      </w:r>
      <w:proofErr w:type="spellStart"/>
      <w:r w:rsidR="000F02B3" w:rsidRPr="0057086A">
        <w:rPr>
          <w:color w:val="000000" w:themeColor="text1"/>
          <w:szCs w:val="19"/>
        </w:rPr>
        <w:t>остойностени</w:t>
      </w:r>
      <w:proofErr w:type="spellEnd"/>
      <w:r w:rsidR="000F02B3" w:rsidRPr="0057086A">
        <w:rPr>
          <w:color w:val="000000" w:themeColor="text1"/>
          <w:szCs w:val="19"/>
        </w:rPr>
        <w:t xml:space="preserve"> на база прогнозна цена, към която са добавени цените за достъп и пренос през газопреносната мрежа. Прогнозната </w:t>
      </w:r>
      <w:r w:rsidR="000F02B3" w:rsidRPr="0057086A">
        <w:rPr>
          <w:color w:val="auto"/>
          <w:szCs w:val="19"/>
        </w:rPr>
        <w:t xml:space="preserve">цена е базирана </w:t>
      </w:r>
      <w:r w:rsidR="00170A65" w:rsidRPr="0057086A">
        <w:rPr>
          <w:color w:val="auto"/>
          <w:szCs w:val="19"/>
        </w:rPr>
        <w:t xml:space="preserve">на </w:t>
      </w:r>
      <w:proofErr w:type="spellStart"/>
      <w:r w:rsidR="00170A65" w:rsidRPr="0057086A">
        <w:rPr>
          <w:color w:val="auto"/>
          <w:szCs w:val="19"/>
        </w:rPr>
        <w:t>сетълмент</w:t>
      </w:r>
      <w:proofErr w:type="spellEnd"/>
      <w:r w:rsidR="00170A65" w:rsidRPr="0057086A">
        <w:rPr>
          <w:color w:val="auto"/>
          <w:szCs w:val="19"/>
        </w:rPr>
        <w:t xml:space="preserve"> цени за финансов фючърс за хъб TTF от ЕЕХ към ден на търговия </w:t>
      </w:r>
      <w:r w:rsidR="00EB5578" w:rsidRPr="007365DA">
        <w:rPr>
          <w:color w:val="000000" w:themeColor="text1"/>
          <w:szCs w:val="19"/>
          <w:lang w:val="en-US"/>
        </w:rPr>
        <w:t>1</w:t>
      </w:r>
      <w:r w:rsidR="007365DA" w:rsidRPr="007365DA">
        <w:rPr>
          <w:color w:val="000000" w:themeColor="text1"/>
          <w:szCs w:val="19"/>
          <w:lang w:val="en-US"/>
        </w:rPr>
        <w:t>5</w:t>
      </w:r>
      <w:r w:rsidR="00170A65" w:rsidRPr="007365DA">
        <w:rPr>
          <w:color w:val="000000" w:themeColor="text1"/>
          <w:szCs w:val="19"/>
        </w:rPr>
        <w:t>.03.202</w:t>
      </w:r>
      <w:r w:rsidR="007365DA" w:rsidRPr="007365DA">
        <w:rPr>
          <w:color w:val="000000" w:themeColor="text1"/>
          <w:szCs w:val="19"/>
          <w:lang w:val="en-US"/>
        </w:rPr>
        <w:t>4</w:t>
      </w:r>
      <w:r w:rsidR="00170A65" w:rsidRPr="007365DA">
        <w:rPr>
          <w:color w:val="000000" w:themeColor="text1"/>
          <w:szCs w:val="19"/>
        </w:rPr>
        <w:t xml:space="preserve"> </w:t>
      </w:r>
      <w:hyperlink r:id="rId11" w:history="1">
        <w:proofErr w:type="spellStart"/>
        <w:r w:rsidR="00170A65" w:rsidRPr="0057086A">
          <w:rPr>
            <w:rStyle w:val="Hyperlink"/>
          </w:rPr>
          <w:t>Financial</w:t>
        </w:r>
        <w:proofErr w:type="spellEnd"/>
        <w:r w:rsidR="00170A65" w:rsidRPr="0057086A">
          <w:rPr>
            <w:rStyle w:val="Hyperlink"/>
          </w:rPr>
          <w:t xml:space="preserve"> </w:t>
        </w:r>
        <w:proofErr w:type="spellStart"/>
        <w:r w:rsidR="00170A65" w:rsidRPr="0057086A">
          <w:rPr>
            <w:rStyle w:val="Hyperlink"/>
          </w:rPr>
          <w:t>Futures</w:t>
        </w:r>
        <w:proofErr w:type="spellEnd"/>
        <w:r w:rsidR="00170A65" w:rsidRPr="0057086A">
          <w:rPr>
            <w:rStyle w:val="Hyperlink"/>
          </w:rPr>
          <w:t xml:space="preserve"> (EGSI) Market Data (eex.com)</w:t>
        </w:r>
      </w:hyperlink>
      <w:r w:rsidR="00170A65" w:rsidRPr="0057086A">
        <w:t xml:space="preserve"> </w:t>
      </w:r>
    </w:p>
    <w:p w14:paraId="5B21B9EE" w14:textId="0F132601" w:rsidR="009242AD" w:rsidRPr="0057086A" w:rsidRDefault="009242AD" w:rsidP="002947E7">
      <w:pPr>
        <w:pStyle w:val="Heading3"/>
        <w:numPr>
          <w:ilvl w:val="0"/>
          <w:numId w:val="7"/>
        </w:numPr>
        <w:tabs>
          <w:tab w:val="clear" w:pos="709"/>
        </w:tabs>
        <w:spacing w:before="240" w:line="240" w:lineRule="auto"/>
        <w:rPr>
          <w:color w:val="auto"/>
          <w:szCs w:val="19"/>
        </w:rPr>
      </w:pPr>
      <w:r w:rsidRPr="0057086A">
        <w:rPr>
          <w:color w:val="auto"/>
          <w:szCs w:val="19"/>
        </w:rPr>
        <w:t>Цени за достъп и пренос през газопреносната мрежа, определени по реда на Методиката за определяне на цени за достъп и пренос на природен газ през газопреносните мрежи, собственост на „Булгартрансгаз” ЕАД и е съобразена производствена програма на дружеството</w:t>
      </w:r>
    </w:p>
    <w:p w14:paraId="01326DB8" w14:textId="5B7BB3AE" w:rsidR="00170A65" w:rsidRPr="0057086A" w:rsidRDefault="009242AD" w:rsidP="002947E7">
      <w:pPr>
        <w:pStyle w:val="Heading3"/>
        <w:numPr>
          <w:ilvl w:val="0"/>
          <w:numId w:val="7"/>
        </w:numPr>
        <w:tabs>
          <w:tab w:val="clear" w:pos="709"/>
        </w:tabs>
        <w:spacing w:before="240" w:line="240" w:lineRule="auto"/>
        <w:rPr>
          <w:color w:val="auto"/>
          <w:szCs w:val="19"/>
        </w:rPr>
      </w:pPr>
      <w:r w:rsidRPr="0057086A">
        <w:rPr>
          <w:color w:val="auto"/>
          <w:szCs w:val="19"/>
        </w:rPr>
        <w:t xml:space="preserve">Цена на въглеродни емисии в </w:t>
      </w:r>
      <w:r w:rsidRPr="0057086A">
        <w:rPr>
          <w:color w:val="000000" w:themeColor="text1"/>
          <w:szCs w:val="19"/>
        </w:rPr>
        <w:t xml:space="preserve">размер на </w:t>
      </w:r>
      <w:proofErr w:type="spellStart"/>
      <w:r w:rsidR="00DD3445">
        <w:rPr>
          <w:color w:val="000000" w:themeColor="text1"/>
          <w:szCs w:val="19"/>
          <w:lang w:val="en-US"/>
        </w:rPr>
        <w:t>xxx.xx</w:t>
      </w:r>
      <w:proofErr w:type="spellEnd"/>
      <w:r w:rsidRPr="007365DA">
        <w:rPr>
          <w:color w:val="000000" w:themeColor="text1"/>
          <w:szCs w:val="19"/>
        </w:rPr>
        <w:t xml:space="preserve"> </w:t>
      </w:r>
      <w:r w:rsidR="00170A65" w:rsidRPr="007365DA">
        <w:rPr>
          <w:color w:val="000000" w:themeColor="text1"/>
          <w:szCs w:val="19"/>
        </w:rPr>
        <w:t>лв.</w:t>
      </w:r>
      <w:r w:rsidRPr="007365DA">
        <w:rPr>
          <w:color w:val="000000" w:themeColor="text1"/>
          <w:szCs w:val="19"/>
        </w:rPr>
        <w:t>/тон</w:t>
      </w:r>
      <w:r w:rsidR="00906D57" w:rsidRPr="007365DA">
        <w:rPr>
          <w:color w:val="000000" w:themeColor="text1"/>
          <w:szCs w:val="19"/>
        </w:rPr>
        <w:t>.</w:t>
      </w:r>
      <w:r w:rsidRPr="007365DA">
        <w:rPr>
          <w:color w:val="000000" w:themeColor="text1"/>
          <w:szCs w:val="19"/>
        </w:rPr>
        <w:t xml:space="preserve"> </w:t>
      </w:r>
      <w:r w:rsidR="00C55D06" w:rsidRPr="0057086A">
        <w:rPr>
          <w:color w:val="auto"/>
          <w:szCs w:val="19"/>
        </w:rPr>
        <w:t xml:space="preserve">Дружеството е извършило собствена обективна оценка на прогнозната цена на </w:t>
      </w:r>
      <w:r w:rsidR="00C55D06" w:rsidRPr="0057086A">
        <w:rPr>
          <w:color w:val="auto"/>
          <w:szCs w:val="19"/>
          <w:lang w:val="en-US"/>
        </w:rPr>
        <w:t>CO2</w:t>
      </w:r>
      <w:r w:rsidR="00C55D06" w:rsidRPr="0057086A">
        <w:rPr>
          <w:color w:val="auto"/>
          <w:szCs w:val="19"/>
        </w:rPr>
        <w:t xml:space="preserve"> квотите. Прогнозната цена е</w:t>
      </w:r>
      <w:r w:rsidR="00906D57" w:rsidRPr="0057086A">
        <w:rPr>
          <w:color w:val="auto"/>
          <w:szCs w:val="19"/>
        </w:rPr>
        <w:t xml:space="preserve"> </w:t>
      </w:r>
      <w:r w:rsidR="00170A65" w:rsidRPr="0057086A">
        <w:rPr>
          <w:color w:val="auto"/>
          <w:szCs w:val="19"/>
        </w:rPr>
        <w:t xml:space="preserve">базирана на фючърс за EUA от ЕЕХ към ден на </w:t>
      </w:r>
      <w:r w:rsidR="00170A65" w:rsidRPr="0057086A">
        <w:rPr>
          <w:color w:val="000000" w:themeColor="text1"/>
          <w:szCs w:val="19"/>
        </w:rPr>
        <w:t xml:space="preserve">търговия </w:t>
      </w:r>
      <w:r w:rsidR="004F32ED" w:rsidRPr="007365DA">
        <w:rPr>
          <w:color w:val="000000" w:themeColor="text1"/>
          <w:szCs w:val="19"/>
          <w:lang w:val="en-US"/>
        </w:rPr>
        <w:t>1</w:t>
      </w:r>
      <w:r w:rsidR="007365DA" w:rsidRPr="007365DA">
        <w:rPr>
          <w:color w:val="000000" w:themeColor="text1"/>
          <w:szCs w:val="19"/>
          <w:lang w:val="en-US"/>
        </w:rPr>
        <w:t>5</w:t>
      </w:r>
      <w:r w:rsidR="00170A65" w:rsidRPr="007365DA">
        <w:rPr>
          <w:color w:val="000000" w:themeColor="text1"/>
          <w:szCs w:val="19"/>
        </w:rPr>
        <w:t>.03.202</w:t>
      </w:r>
      <w:r w:rsidR="007365DA" w:rsidRPr="007365DA">
        <w:rPr>
          <w:color w:val="000000" w:themeColor="text1"/>
          <w:szCs w:val="19"/>
          <w:lang w:val="en-US"/>
        </w:rPr>
        <w:t>4</w:t>
      </w:r>
      <w:r w:rsidR="00170A65" w:rsidRPr="007365DA">
        <w:rPr>
          <w:color w:val="000000" w:themeColor="text1"/>
          <w:szCs w:val="19"/>
        </w:rPr>
        <w:t xml:space="preserve">  </w:t>
      </w:r>
      <w:hyperlink r:id="rId12" w:history="1">
        <w:proofErr w:type="spellStart"/>
        <w:r w:rsidR="00170A65" w:rsidRPr="0057086A">
          <w:rPr>
            <w:rStyle w:val="Hyperlink"/>
          </w:rPr>
          <w:t>Futures</w:t>
        </w:r>
        <w:proofErr w:type="spellEnd"/>
        <w:r w:rsidR="00170A65" w:rsidRPr="0057086A">
          <w:rPr>
            <w:rStyle w:val="Hyperlink"/>
          </w:rPr>
          <w:t xml:space="preserve"> Market (eex.com)</w:t>
        </w:r>
      </w:hyperlink>
      <w:r w:rsidR="00170A65" w:rsidRPr="0057086A">
        <w:rPr>
          <w:color w:val="FF0000"/>
          <w:szCs w:val="19"/>
        </w:rPr>
        <w:t xml:space="preserve"> </w:t>
      </w:r>
      <w:r w:rsidR="00170A65" w:rsidRPr="0057086A">
        <w:rPr>
          <w:color w:val="auto"/>
          <w:szCs w:val="19"/>
        </w:rPr>
        <w:t xml:space="preserve">Използвани са месечни котировки </w:t>
      </w:r>
    </w:p>
    <w:p w14:paraId="1E17BA85" w14:textId="781B1C7C" w:rsidR="006B41AE" w:rsidRPr="0057086A" w:rsidRDefault="009242AD" w:rsidP="002947E7">
      <w:pPr>
        <w:pStyle w:val="Heading3"/>
        <w:numPr>
          <w:ilvl w:val="0"/>
          <w:numId w:val="7"/>
        </w:numPr>
        <w:tabs>
          <w:tab w:val="clear" w:pos="709"/>
        </w:tabs>
        <w:spacing w:before="240" w:line="240" w:lineRule="auto"/>
        <w:rPr>
          <w:color w:val="auto"/>
          <w:szCs w:val="19"/>
        </w:rPr>
      </w:pPr>
      <w:r w:rsidRPr="0057086A">
        <w:rPr>
          <w:color w:val="auto"/>
          <w:szCs w:val="19"/>
        </w:rPr>
        <w:t xml:space="preserve">Цена на произведената електрическа енергия без постигнати показатели за ВЕКП </w:t>
      </w:r>
      <w:r w:rsidR="000B713B" w:rsidRPr="0057086A">
        <w:rPr>
          <w:color w:val="auto"/>
          <w:szCs w:val="19"/>
        </w:rPr>
        <w:t xml:space="preserve">в размер на </w:t>
      </w:r>
      <w:proofErr w:type="spellStart"/>
      <w:r w:rsidR="00DD3445">
        <w:rPr>
          <w:color w:val="000000" w:themeColor="text1"/>
          <w:szCs w:val="19"/>
          <w:lang w:val="en-US"/>
        </w:rPr>
        <w:t>xxx.xx</w:t>
      </w:r>
      <w:proofErr w:type="spellEnd"/>
      <w:r w:rsidR="000468EC" w:rsidRPr="007365DA">
        <w:rPr>
          <w:color w:val="000000" w:themeColor="text1"/>
          <w:szCs w:val="19"/>
          <w:lang w:val="en-US"/>
        </w:rPr>
        <w:t xml:space="preserve"> </w:t>
      </w:r>
      <w:r w:rsidR="000B713B" w:rsidRPr="007365DA">
        <w:rPr>
          <w:color w:val="000000" w:themeColor="text1"/>
          <w:szCs w:val="19"/>
        </w:rPr>
        <w:t>лв.</w:t>
      </w:r>
      <w:r w:rsidR="000B713B" w:rsidRPr="007365DA">
        <w:rPr>
          <w:color w:val="000000" w:themeColor="text1"/>
          <w:szCs w:val="19"/>
          <w:lang w:val="en-US"/>
        </w:rPr>
        <w:t xml:space="preserve">MWh </w:t>
      </w:r>
      <w:r w:rsidR="007365DA" w:rsidRPr="007365DA">
        <w:rPr>
          <w:color w:val="000000" w:themeColor="text1"/>
          <w:szCs w:val="19"/>
          <w:lang w:val="en-US"/>
        </w:rPr>
        <w:t xml:space="preserve">e </w:t>
      </w:r>
      <w:proofErr w:type="spellStart"/>
      <w:r w:rsidR="007365DA" w:rsidRPr="007365DA">
        <w:rPr>
          <w:color w:val="000000" w:themeColor="text1"/>
          <w:szCs w:val="19"/>
          <w:lang w:val="en-US"/>
        </w:rPr>
        <w:t>базиранa</w:t>
      </w:r>
      <w:proofErr w:type="spellEnd"/>
      <w:r w:rsidR="007365DA" w:rsidRPr="007365DA">
        <w:rPr>
          <w:color w:val="000000" w:themeColor="text1"/>
          <w:szCs w:val="19"/>
          <w:lang w:val="en-US"/>
        </w:rPr>
        <w:t xml:space="preserve"> </w:t>
      </w:r>
      <w:proofErr w:type="spellStart"/>
      <w:r w:rsidR="007365DA" w:rsidRPr="007365DA">
        <w:rPr>
          <w:color w:val="000000" w:themeColor="text1"/>
          <w:szCs w:val="19"/>
          <w:lang w:val="en-US"/>
        </w:rPr>
        <w:t>на</w:t>
      </w:r>
      <w:proofErr w:type="spellEnd"/>
      <w:r w:rsidR="007365DA" w:rsidRPr="007365DA">
        <w:rPr>
          <w:color w:val="000000" w:themeColor="text1"/>
          <w:szCs w:val="19"/>
          <w:lang w:val="en-US"/>
        </w:rPr>
        <w:t xml:space="preserve"> </w:t>
      </w:r>
      <w:proofErr w:type="spellStart"/>
      <w:r w:rsidR="007365DA" w:rsidRPr="007365DA">
        <w:rPr>
          <w:color w:val="000000" w:themeColor="text1"/>
          <w:szCs w:val="19"/>
          <w:lang w:val="en-US"/>
        </w:rPr>
        <w:t>налични</w:t>
      </w:r>
      <w:proofErr w:type="spellEnd"/>
      <w:r w:rsidR="007365DA" w:rsidRPr="007365DA">
        <w:rPr>
          <w:color w:val="000000" w:themeColor="text1"/>
          <w:szCs w:val="19"/>
          <w:lang w:val="en-US"/>
        </w:rPr>
        <w:t xml:space="preserve"> </w:t>
      </w:r>
      <w:proofErr w:type="spellStart"/>
      <w:r w:rsidR="007365DA" w:rsidRPr="007365DA">
        <w:rPr>
          <w:color w:val="000000" w:themeColor="text1"/>
          <w:szCs w:val="19"/>
          <w:lang w:val="en-US"/>
        </w:rPr>
        <w:t>котировки</w:t>
      </w:r>
      <w:proofErr w:type="spellEnd"/>
      <w:r w:rsidR="007365DA" w:rsidRPr="007365DA">
        <w:rPr>
          <w:color w:val="000000" w:themeColor="text1"/>
          <w:szCs w:val="19"/>
          <w:lang w:val="en-US"/>
        </w:rPr>
        <w:t xml:space="preserve"> </w:t>
      </w:r>
      <w:proofErr w:type="spellStart"/>
      <w:r w:rsidR="007365DA" w:rsidRPr="007365DA">
        <w:rPr>
          <w:color w:val="000000" w:themeColor="text1"/>
          <w:szCs w:val="19"/>
          <w:lang w:val="en-US"/>
        </w:rPr>
        <w:t>от</w:t>
      </w:r>
      <w:proofErr w:type="spellEnd"/>
      <w:r w:rsidR="007365DA" w:rsidRPr="007365DA">
        <w:rPr>
          <w:color w:val="000000" w:themeColor="text1"/>
          <w:szCs w:val="19"/>
          <w:lang w:val="en-US"/>
        </w:rPr>
        <w:t xml:space="preserve"> EEХ </w:t>
      </w:r>
      <w:proofErr w:type="spellStart"/>
      <w:r w:rsidR="007365DA" w:rsidRPr="007365DA">
        <w:rPr>
          <w:color w:val="000000" w:themeColor="text1"/>
          <w:szCs w:val="19"/>
          <w:lang w:val="en-US"/>
        </w:rPr>
        <w:t>за</w:t>
      </w:r>
      <w:proofErr w:type="spellEnd"/>
      <w:r w:rsidR="007365DA" w:rsidRPr="007365DA">
        <w:rPr>
          <w:color w:val="000000" w:themeColor="text1"/>
          <w:szCs w:val="19"/>
          <w:lang w:val="en-US"/>
        </w:rPr>
        <w:t xml:space="preserve"> </w:t>
      </w:r>
      <w:proofErr w:type="spellStart"/>
      <w:r w:rsidR="007365DA" w:rsidRPr="007365DA">
        <w:rPr>
          <w:color w:val="000000" w:themeColor="text1"/>
          <w:szCs w:val="19"/>
          <w:lang w:val="en-US"/>
        </w:rPr>
        <w:t>фючърси</w:t>
      </w:r>
      <w:proofErr w:type="spellEnd"/>
      <w:r w:rsidR="007365DA" w:rsidRPr="007365DA">
        <w:rPr>
          <w:color w:val="000000" w:themeColor="text1"/>
          <w:szCs w:val="19"/>
          <w:lang w:val="en-US"/>
        </w:rPr>
        <w:t xml:space="preserve"> </w:t>
      </w:r>
      <w:proofErr w:type="spellStart"/>
      <w:r w:rsidR="007365DA" w:rsidRPr="007365DA">
        <w:rPr>
          <w:color w:val="000000" w:themeColor="text1"/>
          <w:szCs w:val="19"/>
          <w:lang w:val="en-US"/>
        </w:rPr>
        <w:t>за</w:t>
      </w:r>
      <w:proofErr w:type="spellEnd"/>
      <w:r w:rsidR="007365DA" w:rsidRPr="007365DA">
        <w:rPr>
          <w:color w:val="000000" w:themeColor="text1"/>
          <w:szCs w:val="19"/>
          <w:lang w:val="en-US"/>
        </w:rPr>
        <w:t xml:space="preserve"> </w:t>
      </w:r>
      <w:proofErr w:type="spellStart"/>
      <w:r w:rsidR="007365DA" w:rsidRPr="007365DA">
        <w:rPr>
          <w:color w:val="000000" w:themeColor="text1"/>
          <w:szCs w:val="19"/>
          <w:lang w:val="en-US"/>
        </w:rPr>
        <w:t>България</w:t>
      </w:r>
      <w:proofErr w:type="spellEnd"/>
      <w:r w:rsidR="007365DA" w:rsidRPr="007365DA">
        <w:rPr>
          <w:color w:val="000000" w:themeColor="text1"/>
          <w:szCs w:val="19"/>
          <w:lang w:val="en-US"/>
        </w:rPr>
        <w:t xml:space="preserve"> </w:t>
      </w:r>
      <w:proofErr w:type="spellStart"/>
      <w:r w:rsidR="007365DA" w:rsidRPr="007365DA">
        <w:rPr>
          <w:color w:val="000000" w:themeColor="text1"/>
          <w:szCs w:val="19"/>
          <w:lang w:val="en-US"/>
        </w:rPr>
        <w:t>към</w:t>
      </w:r>
      <w:proofErr w:type="spellEnd"/>
      <w:r w:rsidR="007365DA" w:rsidRPr="007365DA">
        <w:rPr>
          <w:color w:val="000000" w:themeColor="text1"/>
          <w:szCs w:val="19"/>
          <w:lang w:val="en-US"/>
        </w:rPr>
        <w:t xml:space="preserve"> </w:t>
      </w:r>
      <w:proofErr w:type="spellStart"/>
      <w:r w:rsidR="007365DA" w:rsidRPr="007365DA">
        <w:rPr>
          <w:color w:val="000000" w:themeColor="text1"/>
          <w:szCs w:val="19"/>
          <w:lang w:val="en-US"/>
        </w:rPr>
        <w:t>ден</w:t>
      </w:r>
      <w:proofErr w:type="spellEnd"/>
      <w:r w:rsidR="007365DA" w:rsidRPr="007365DA">
        <w:rPr>
          <w:color w:val="000000" w:themeColor="text1"/>
          <w:szCs w:val="19"/>
          <w:lang w:val="en-US"/>
        </w:rPr>
        <w:t xml:space="preserve"> </w:t>
      </w:r>
      <w:proofErr w:type="spellStart"/>
      <w:r w:rsidR="007365DA" w:rsidRPr="007365DA">
        <w:rPr>
          <w:color w:val="000000" w:themeColor="text1"/>
          <w:szCs w:val="19"/>
          <w:lang w:val="en-US"/>
        </w:rPr>
        <w:t>на</w:t>
      </w:r>
      <w:proofErr w:type="spellEnd"/>
      <w:r w:rsidR="007365DA" w:rsidRPr="007365DA">
        <w:rPr>
          <w:color w:val="000000" w:themeColor="text1"/>
          <w:szCs w:val="19"/>
          <w:lang w:val="en-US"/>
        </w:rPr>
        <w:t xml:space="preserve"> </w:t>
      </w:r>
      <w:proofErr w:type="spellStart"/>
      <w:r w:rsidR="007365DA" w:rsidRPr="007365DA">
        <w:rPr>
          <w:color w:val="000000" w:themeColor="text1"/>
          <w:szCs w:val="19"/>
          <w:lang w:val="en-US"/>
        </w:rPr>
        <w:t>търговия</w:t>
      </w:r>
      <w:proofErr w:type="spellEnd"/>
      <w:r w:rsidR="007365DA" w:rsidRPr="007365DA">
        <w:rPr>
          <w:color w:val="000000" w:themeColor="text1"/>
          <w:szCs w:val="19"/>
          <w:lang w:val="en-US"/>
        </w:rPr>
        <w:t xml:space="preserve"> 15.03.2024</w:t>
      </w:r>
    </w:p>
    <w:p w14:paraId="13307A12" w14:textId="77777777" w:rsidR="009242AD" w:rsidRPr="00EA3C44" w:rsidRDefault="009242AD" w:rsidP="008A3CA0">
      <w:pPr>
        <w:pStyle w:val="Heading3"/>
        <w:numPr>
          <w:ilvl w:val="0"/>
          <w:numId w:val="7"/>
        </w:numPr>
        <w:tabs>
          <w:tab w:val="clear" w:pos="709"/>
        </w:tabs>
        <w:spacing w:before="240" w:line="240" w:lineRule="auto"/>
        <w:rPr>
          <w:color w:val="000000" w:themeColor="text1"/>
          <w:szCs w:val="19"/>
        </w:rPr>
      </w:pPr>
      <w:r w:rsidRPr="00EA3C44">
        <w:rPr>
          <w:color w:val="000000" w:themeColor="text1"/>
          <w:szCs w:val="19"/>
        </w:rPr>
        <w:t>Калкулираните цени да осигуряват:</w:t>
      </w:r>
    </w:p>
    <w:p w14:paraId="45C7C367" w14:textId="77777777" w:rsidR="009242AD" w:rsidRPr="00EA3C44" w:rsidRDefault="009242AD" w:rsidP="009242AD">
      <w:pPr>
        <w:ind w:left="1134" w:firstLine="567"/>
        <w:rPr>
          <w:color w:val="000000" w:themeColor="text1"/>
        </w:rPr>
      </w:pPr>
      <w:r w:rsidRPr="00EA3C44">
        <w:rPr>
          <w:color w:val="000000" w:themeColor="text1"/>
        </w:rPr>
        <w:t>- спазване на принципа за разходно-ориентирани цени</w:t>
      </w:r>
    </w:p>
    <w:p w14:paraId="1BA02F78" w14:textId="77777777" w:rsidR="009242AD" w:rsidRPr="00EA3C44" w:rsidRDefault="009242AD" w:rsidP="009242AD">
      <w:pPr>
        <w:ind w:left="1134" w:firstLine="567"/>
        <w:rPr>
          <w:color w:val="000000" w:themeColor="text1"/>
        </w:rPr>
      </w:pPr>
      <w:r w:rsidRPr="00EA3C44">
        <w:rPr>
          <w:color w:val="000000" w:themeColor="text1"/>
        </w:rPr>
        <w:t>- възстановяване на икономически обоснованите разходи за дейността</w:t>
      </w:r>
    </w:p>
    <w:p w14:paraId="6B49DB65" w14:textId="780014D7" w:rsidR="009242AD" w:rsidRPr="00EA3C44" w:rsidRDefault="009242AD" w:rsidP="009242AD">
      <w:pPr>
        <w:rPr>
          <w:color w:val="000000" w:themeColor="text1"/>
        </w:rPr>
      </w:pPr>
      <w:r w:rsidRPr="00EA3C44">
        <w:rPr>
          <w:color w:val="000000" w:themeColor="text1"/>
        </w:rPr>
        <w:tab/>
      </w:r>
      <w:r w:rsidRPr="00EA3C44">
        <w:rPr>
          <w:color w:val="000000" w:themeColor="text1"/>
        </w:rPr>
        <w:tab/>
      </w:r>
      <w:r w:rsidR="009A5019" w:rsidRPr="00EA3C44">
        <w:rPr>
          <w:color w:val="000000" w:themeColor="text1"/>
        </w:rPr>
        <w:t xml:space="preserve">      </w:t>
      </w:r>
      <w:r w:rsidRPr="00EA3C44">
        <w:rPr>
          <w:color w:val="000000" w:themeColor="text1"/>
        </w:rPr>
        <w:t>- икономически обоснована норма на възвръщаемост на капитала</w:t>
      </w:r>
    </w:p>
    <w:p w14:paraId="456B060D" w14:textId="664CA42B" w:rsidR="009242AD" w:rsidRPr="0057086A" w:rsidRDefault="009242AD" w:rsidP="009242AD">
      <w:pPr>
        <w:rPr>
          <w:color w:val="00B050"/>
        </w:rPr>
      </w:pPr>
      <w:r w:rsidRPr="0057086A">
        <w:rPr>
          <w:color w:val="00B050"/>
        </w:rPr>
        <w:tab/>
      </w:r>
      <w:r w:rsidRPr="0057086A">
        <w:rPr>
          <w:color w:val="00B050"/>
        </w:rPr>
        <w:tab/>
      </w:r>
      <w:r w:rsidRPr="0057086A">
        <w:rPr>
          <w:color w:val="00B050"/>
        </w:rPr>
        <w:tab/>
        <w:t xml:space="preserve">  </w:t>
      </w:r>
    </w:p>
    <w:p w14:paraId="35D3FA7D" w14:textId="32EE5E21" w:rsidR="009242AD" w:rsidRPr="0057086A" w:rsidRDefault="009242AD" w:rsidP="00226ECF">
      <w:pPr>
        <w:pStyle w:val="Heading2"/>
        <w:keepLines w:val="0"/>
        <w:numPr>
          <w:ilvl w:val="1"/>
          <w:numId w:val="12"/>
        </w:numPr>
        <w:tabs>
          <w:tab w:val="clear" w:pos="567"/>
        </w:tabs>
        <w:spacing w:before="240" w:line="240" w:lineRule="auto"/>
      </w:pPr>
      <w:bookmarkStart w:id="1" w:name="_Hlk114209337"/>
      <w:r w:rsidRPr="0057086A">
        <w:t xml:space="preserve">Прогнозно </w:t>
      </w:r>
      <w:r w:rsidR="001107B0" w:rsidRPr="0057086A">
        <w:t>количество топлинна енергия, отпускана към топлопреносната мрежа</w:t>
      </w:r>
    </w:p>
    <w:bookmarkEnd w:id="1"/>
    <w:p w14:paraId="7A44CEAE" w14:textId="77777777" w:rsidR="00C458F4" w:rsidRPr="0057086A" w:rsidRDefault="00C458F4" w:rsidP="00C458F4">
      <w:pPr>
        <w:spacing w:line="240" w:lineRule="auto"/>
        <w:ind w:left="720"/>
        <w:jc w:val="both"/>
        <w:rPr>
          <w:rFonts w:cs="Arial"/>
          <w:b/>
          <w:bCs/>
          <w:sz w:val="20"/>
          <w:szCs w:val="20"/>
        </w:rPr>
      </w:pPr>
    </w:p>
    <w:p w14:paraId="3C6ADB59" w14:textId="77777777" w:rsidR="00C458F4" w:rsidRPr="0057086A" w:rsidRDefault="00C458F4" w:rsidP="00C458F4">
      <w:pPr>
        <w:spacing w:line="240" w:lineRule="auto"/>
        <w:ind w:left="720"/>
        <w:jc w:val="both"/>
        <w:rPr>
          <w:rFonts w:cs="Arial"/>
          <w:b/>
          <w:bCs/>
          <w:sz w:val="20"/>
          <w:szCs w:val="20"/>
        </w:rPr>
      </w:pPr>
    </w:p>
    <w:p w14:paraId="1CF11D2D" w14:textId="77777777" w:rsidR="00D923BB" w:rsidRPr="00AA34BE" w:rsidRDefault="00D923BB" w:rsidP="00D923BB">
      <w:pPr>
        <w:pStyle w:val="ListParagraph"/>
        <w:numPr>
          <w:ilvl w:val="0"/>
          <w:numId w:val="22"/>
        </w:numPr>
        <w:jc w:val="both"/>
        <w:rPr>
          <w:rFonts w:ascii="Frutiger Next for EVN Light" w:hAnsi="Frutiger Next for EVN Light" w:cs="Arial"/>
          <w:b/>
          <w:bCs/>
          <w:color w:val="000000" w:themeColor="text1"/>
          <w:sz w:val="19"/>
          <w:szCs w:val="19"/>
        </w:rPr>
      </w:pPr>
      <w:proofErr w:type="spellStart"/>
      <w:r w:rsidRPr="00AA34BE">
        <w:rPr>
          <w:rFonts w:ascii="Frutiger Next for EVN Light" w:hAnsi="Frutiger Next for EVN Light" w:cs="Arial"/>
          <w:b/>
          <w:bCs/>
          <w:color w:val="000000" w:themeColor="text1"/>
          <w:sz w:val="19"/>
          <w:szCs w:val="19"/>
        </w:rPr>
        <w:t>Очаквано</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количество</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топлинна</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енергия</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отпускана</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към</w:t>
      </w:r>
      <w:proofErr w:type="spellEnd"/>
      <w:r w:rsidRPr="00AA34BE">
        <w:rPr>
          <w:rFonts w:ascii="Frutiger Next for EVN Light" w:hAnsi="Frutiger Next for EVN Light" w:cs="Arial"/>
          <w:b/>
          <w:bCs/>
          <w:color w:val="000000" w:themeColor="text1"/>
          <w:sz w:val="19"/>
          <w:szCs w:val="19"/>
        </w:rPr>
        <w:t xml:space="preserve"> топлопреносната </w:t>
      </w:r>
      <w:proofErr w:type="spellStart"/>
      <w:r w:rsidRPr="00AA34BE">
        <w:rPr>
          <w:rFonts w:ascii="Frutiger Next for EVN Light" w:hAnsi="Frutiger Next for EVN Light" w:cs="Arial"/>
          <w:b/>
          <w:bCs/>
          <w:color w:val="000000" w:themeColor="text1"/>
          <w:sz w:val="19"/>
          <w:szCs w:val="19"/>
        </w:rPr>
        <w:t>мрежа</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за</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ценовия</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период</w:t>
      </w:r>
      <w:proofErr w:type="spellEnd"/>
    </w:p>
    <w:p w14:paraId="68F90071" w14:textId="77777777" w:rsidR="00D923BB" w:rsidRPr="00AA34BE" w:rsidRDefault="00D923BB" w:rsidP="00D923BB">
      <w:pPr>
        <w:rPr>
          <w:color w:val="000000" w:themeColor="text1"/>
        </w:rPr>
      </w:pPr>
    </w:p>
    <w:p w14:paraId="3392D8A0" w14:textId="77777777" w:rsidR="00D923BB" w:rsidRPr="00AA34BE" w:rsidRDefault="00D923BB" w:rsidP="00D923BB">
      <w:pPr>
        <w:spacing w:line="240" w:lineRule="exact"/>
        <w:ind w:left="709"/>
        <w:jc w:val="both"/>
        <w:rPr>
          <w:rFonts w:cs="Arial"/>
          <w:bCs/>
          <w:color w:val="000000" w:themeColor="text1"/>
        </w:rPr>
      </w:pPr>
      <w:bookmarkStart w:id="2" w:name="_Hlk114209429"/>
      <w:r w:rsidRPr="00AA34BE">
        <w:rPr>
          <w:rFonts w:cs="Arial"/>
          <w:bCs/>
          <w:color w:val="000000" w:themeColor="text1"/>
        </w:rPr>
        <w:t>Планирането на топлинна енергия е извършено на база очакваните продажби на топлинна енергия, прогноза на технологични разходи по преноса на топлинна енергия, във връзка с отчетената температура на въздуха за гр. Пловдив и тенденцията в потреблението през последните години.</w:t>
      </w:r>
    </w:p>
    <w:p w14:paraId="238D4958" w14:textId="34F929CF"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Прогнозираните количества на отпуснатата топлинна енергия към топлопреносната мрежа са в размер на</w:t>
      </w:r>
      <w:r w:rsidRPr="00AA34BE">
        <w:rPr>
          <w:rFonts w:cs="Arial"/>
          <w:bCs/>
          <w:color w:val="000000" w:themeColor="text1"/>
          <w:lang w:val="en-US"/>
        </w:rPr>
        <w:t xml:space="preserve"> </w:t>
      </w:r>
      <w:r w:rsidR="00DD3445">
        <w:rPr>
          <w:rFonts w:cs="Arial"/>
          <w:bCs/>
          <w:color w:val="000000" w:themeColor="text1"/>
          <w:lang w:val="en-US"/>
        </w:rPr>
        <w:t xml:space="preserve">xxx </w:t>
      </w:r>
      <w:proofErr w:type="spellStart"/>
      <w:r w:rsidR="00DD3445">
        <w:rPr>
          <w:rFonts w:cs="Arial"/>
          <w:bCs/>
          <w:color w:val="000000" w:themeColor="text1"/>
          <w:lang w:val="en-US"/>
        </w:rPr>
        <w:t>xxx</w:t>
      </w:r>
      <w:proofErr w:type="spellEnd"/>
      <w:r w:rsidRPr="00AA34BE">
        <w:rPr>
          <w:rFonts w:cs="Arial"/>
          <w:bCs/>
          <w:color w:val="000000" w:themeColor="text1"/>
        </w:rPr>
        <w:t xml:space="preserve"> MWh.</w:t>
      </w:r>
    </w:p>
    <w:bookmarkEnd w:id="2"/>
    <w:p w14:paraId="7E4378ED" w14:textId="77777777"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lastRenderedPageBreak/>
        <w:t>В следващата таблица е представено по месеци сравнение на отпусната към преноса топлинна енергия през 202</w:t>
      </w:r>
      <w:r w:rsidRPr="00AA34BE">
        <w:rPr>
          <w:rFonts w:cs="Arial"/>
          <w:bCs/>
          <w:color w:val="000000" w:themeColor="text1"/>
          <w:lang w:val="en-US"/>
        </w:rPr>
        <w:t>3</w:t>
      </w:r>
      <w:r w:rsidRPr="00AA34BE">
        <w:rPr>
          <w:rFonts w:cs="Arial"/>
          <w:bCs/>
          <w:color w:val="000000" w:themeColor="text1"/>
        </w:rPr>
        <w:t xml:space="preserve"> г., прогноза за периода 202</w:t>
      </w:r>
      <w:r w:rsidRPr="00AA34BE">
        <w:rPr>
          <w:rFonts w:cs="Arial"/>
          <w:bCs/>
          <w:color w:val="000000" w:themeColor="text1"/>
          <w:lang w:val="en-US"/>
        </w:rPr>
        <w:t>4</w:t>
      </w:r>
      <w:r w:rsidRPr="00AA34BE">
        <w:rPr>
          <w:rFonts w:cs="Arial"/>
          <w:bCs/>
          <w:color w:val="000000" w:themeColor="text1"/>
        </w:rPr>
        <w:t>г. – 202</w:t>
      </w:r>
      <w:r w:rsidRPr="00AA34BE">
        <w:rPr>
          <w:rFonts w:cs="Arial"/>
          <w:bCs/>
          <w:color w:val="000000" w:themeColor="text1"/>
          <w:lang w:val="en-US"/>
        </w:rPr>
        <w:t>5</w:t>
      </w:r>
      <w:r w:rsidRPr="00AA34BE">
        <w:rPr>
          <w:rFonts w:cs="Arial"/>
          <w:bCs/>
          <w:color w:val="000000" w:themeColor="text1"/>
        </w:rPr>
        <w:t xml:space="preserve"> г., отчетени температури на външния въздух за 6 годишен период и прогнозните външни температури за ценовия период.</w:t>
      </w:r>
    </w:p>
    <w:p w14:paraId="7D8312A1" w14:textId="77777777" w:rsidR="00D923BB" w:rsidRPr="00AA34BE" w:rsidRDefault="00D923BB" w:rsidP="00D923BB">
      <w:pPr>
        <w:ind w:left="709"/>
        <w:jc w:val="both"/>
        <w:rPr>
          <w:rFonts w:cs="Arial"/>
          <w:bCs/>
          <w:color w:val="000000" w:themeColor="text1"/>
          <w:sz w:val="20"/>
          <w:szCs w:val="20"/>
        </w:rPr>
      </w:pPr>
    </w:p>
    <w:tbl>
      <w:tblPr>
        <w:tblW w:w="10268" w:type="dxa"/>
        <w:tblInd w:w="75" w:type="dxa"/>
        <w:tblCellMar>
          <w:left w:w="70" w:type="dxa"/>
          <w:right w:w="70" w:type="dxa"/>
        </w:tblCellMar>
        <w:tblLook w:val="04A0" w:firstRow="1" w:lastRow="0" w:firstColumn="1" w:lastColumn="0" w:noHBand="0" w:noVBand="1"/>
      </w:tblPr>
      <w:tblGrid>
        <w:gridCol w:w="1382"/>
        <w:gridCol w:w="552"/>
        <w:gridCol w:w="627"/>
        <w:gridCol w:w="627"/>
        <w:gridCol w:w="626"/>
        <w:gridCol w:w="626"/>
        <w:gridCol w:w="626"/>
        <w:gridCol w:w="626"/>
        <w:gridCol w:w="626"/>
        <w:gridCol w:w="626"/>
        <w:gridCol w:w="626"/>
        <w:gridCol w:w="626"/>
        <w:gridCol w:w="626"/>
        <w:gridCol w:w="626"/>
        <w:gridCol w:w="820"/>
      </w:tblGrid>
      <w:tr w:rsidR="00AA34BE" w:rsidRPr="00AA34BE" w14:paraId="1698E506" w14:textId="77777777" w:rsidTr="006240A3">
        <w:trPr>
          <w:trHeight w:val="195"/>
        </w:trPr>
        <w:tc>
          <w:tcPr>
            <w:tcW w:w="1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EB87B" w14:textId="77777777" w:rsidR="00D923BB" w:rsidRPr="00AA34BE" w:rsidRDefault="00D923BB" w:rsidP="006240A3">
            <w:pPr>
              <w:jc w:val="center"/>
              <w:rPr>
                <w:rFonts w:cs="Arial"/>
                <w:b/>
                <w:bCs/>
                <w:color w:val="000000" w:themeColor="text1"/>
                <w:sz w:val="14"/>
                <w:szCs w:val="14"/>
              </w:rPr>
            </w:pPr>
            <w:r w:rsidRPr="00AA34BE">
              <w:rPr>
                <w:rFonts w:cs="Arial"/>
                <w:b/>
                <w:bCs/>
                <w:color w:val="000000" w:themeColor="text1"/>
                <w:sz w:val="14"/>
                <w:szCs w:val="14"/>
              </w:rPr>
              <w:t>Показатели</w:t>
            </w:r>
          </w:p>
        </w:tc>
        <w:tc>
          <w:tcPr>
            <w:tcW w:w="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80241"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Мярка</w:t>
            </w:r>
          </w:p>
        </w:tc>
        <w:tc>
          <w:tcPr>
            <w:tcW w:w="3758" w:type="dxa"/>
            <w:gridSpan w:val="6"/>
            <w:tcBorders>
              <w:top w:val="single" w:sz="4" w:space="0" w:color="auto"/>
              <w:left w:val="nil"/>
              <w:bottom w:val="single" w:sz="4" w:space="0" w:color="auto"/>
              <w:right w:val="single" w:sz="4" w:space="0" w:color="auto"/>
            </w:tcBorders>
            <w:shd w:val="clear" w:color="auto" w:fill="auto"/>
            <w:noWrap/>
            <w:vAlign w:val="center"/>
            <w:hideMark/>
          </w:tcPr>
          <w:p w14:paraId="5A6B3A99"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2024</w:t>
            </w:r>
          </w:p>
        </w:tc>
        <w:tc>
          <w:tcPr>
            <w:tcW w:w="3756" w:type="dxa"/>
            <w:gridSpan w:val="6"/>
            <w:tcBorders>
              <w:top w:val="single" w:sz="4" w:space="0" w:color="auto"/>
              <w:left w:val="nil"/>
              <w:bottom w:val="single" w:sz="4" w:space="0" w:color="auto"/>
              <w:right w:val="single" w:sz="4" w:space="0" w:color="auto"/>
            </w:tcBorders>
            <w:shd w:val="clear" w:color="auto" w:fill="auto"/>
            <w:noWrap/>
            <w:vAlign w:val="center"/>
            <w:hideMark/>
          </w:tcPr>
          <w:p w14:paraId="5EB3E841"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2025</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E1FC4D"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Година</w:t>
            </w:r>
          </w:p>
        </w:tc>
      </w:tr>
      <w:tr w:rsidR="00AA34BE" w:rsidRPr="00AA34BE" w14:paraId="47DCBE0F" w14:textId="77777777" w:rsidTr="006240A3">
        <w:trPr>
          <w:trHeight w:val="195"/>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0296E2DD" w14:textId="77777777" w:rsidR="00D923BB" w:rsidRPr="00AA34BE" w:rsidRDefault="00D923BB" w:rsidP="006240A3">
            <w:pPr>
              <w:jc w:val="center"/>
              <w:rPr>
                <w:rFonts w:cs="Arial"/>
                <w:b/>
                <w:bCs/>
                <w:color w:val="000000" w:themeColor="text1"/>
                <w:sz w:val="14"/>
                <w:szCs w:val="14"/>
              </w:rPr>
            </w:pPr>
            <w:r w:rsidRPr="00AA34BE">
              <w:rPr>
                <w:rFonts w:cs="Arial"/>
                <w:b/>
                <w:bCs/>
                <w:color w:val="000000" w:themeColor="text1"/>
                <w:sz w:val="14"/>
                <w:szCs w:val="14"/>
              </w:rPr>
              <w:t>Ценови период</w:t>
            </w:r>
          </w:p>
        </w:tc>
        <w:tc>
          <w:tcPr>
            <w:tcW w:w="552" w:type="dxa"/>
            <w:vMerge/>
            <w:tcBorders>
              <w:top w:val="single" w:sz="4" w:space="0" w:color="auto"/>
              <w:left w:val="single" w:sz="4" w:space="0" w:color="auto"/>
              <w:bottom w:val="single" w:sz="4" w:space="0" w:color="auto"/>
              <w:right w:val="single" w:sz="4" w:space="0" w:color="auto"/>
            </w:tcBorders>
            <w:vAlign w:val="center"/>
            <w:hideMark/>
          </w:tcPr>
          <w:p w14:paraId="7189D6EE" w14:textId="77777777" w:rsidR="00D923BB" w:rsidRPr="00AA34BE" w:rsidRDefault="00D923BB" w:rsidP="006240A3">
            <w:pPr>
              <w:rPr>
                <w:rFonts w:cs="Arial"/>
                <w:color w:val="000000" w:themeColor="text1"/>
                <w:sz w:val="14"/>
                <w:szCs w:val="14"/>
              </w:rPr>
            </w:pPr>
          </w:p>
        </w:tc>
        <w:tc>
          <w:tcPr>
            <w:tcW w:w="627" w:type="dxa"/>
            <w:tcBorders>
              <w:top w:val="nil"/>
              <w:left w:val="nil"/>
              <w:bottom w:val="single" w:sz="4" w:space="0" w:color="auto"/>
              <w:right w:val="single" w:sz="4" w:space="0" w:color="auto"/>
            </w:tcBorders>
            <w:shd w:val="clear" w:color="auto" w:fill="auto"/>
            <w:noWrap/>
            <w:vAlign w:val="center"/>
            <w:hideMark/>
          </w:tcPr>
          <w:p w14:paraId="50074D77"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7</w:t>
            </w:r>
          </w:p>
        </w:tc>
        <w:tc>
          <w:tcPr>
            <w:tcW w:w="627" w:type="dxa"/>
            <w:tcBorders>
              <w:top w:val="nil"/>
              <w:left w:val="nil"/>
              <w:bottom w:val="single" w:sz="4" w:space="0" w:color="auto"/>
              <w:right w:val="single" w:sz="4" w:space="0" w:color="auto"/>
            </w:tcBorders>
            <w:shd w:val="clear" w:color="auto" w:fill="auto"/>
            <w:noWrap/>
            <w:vAlign w:val="center"/>
            <w:hideMark/>
          </w:tcPr>
          <w:p w14:paraId="4333B974"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8</w:t>
            </w:r>
          </w:p>
        </w:tc>
        <w:tc>
          <w:tcPr>
            <w:tcW w:w="626" w:type="dxa"/>
            <w:tcBorders>
              <w:top w:val="nil"/>
              <w:left w:val="nil"/>
              <w:bottom w:val="single" w:sz="4" w:space="0" w:color="auto"/>
              <w:right w:val="single" w:sz="4" w:space="0" w:color="auto"/>
            </w:tcBorders>
            <w:shd w:val="clear" w:color="auto" w:fill="auto"/>
            <w:noWrap/>
            <w:vAlign w:val="center"/>
            <w:hideMark/>
          </w:tcPr>
          <w:p w14:paraId="325E6E35"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9</w:t>
            </w:r>
          </w:p>
        </w:tc>
        <w:tc>
          <w:tcPr>
            <w:tcW w:w="626" w:type="dxa"/>
            <w:tcBorders>
              <w:top w:val="nil"/>
              <w:left w:val="nil"/>
              <w:bottom w:val="single" w:sz="4" w:space="0" w:color="auto"/>
              <w:right w:val="single" w:sz="4" w:space="0" w:color="auto"/>
            </w:tcBorders>
            <w:shd w:val="clear" w:color="auto" w:fill="auto"/>
            <w:noWrap/>
            <w:vAlign w:val="center"/>
            <w:hideMark/>
          </w:tcPr>
          <w:p w14:paraId="6BB6C3A3"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10</w:t>
            </w:r>
          </w:p>
        </w:tc>
        <w:tc>
          <w:tcPr>
            <w:tcW w:w="626" w:type="dxa"/>
            <w:tcBorders>
              <w:top w:val="nil"/>
              <w:left w:val="nil"/>
              <w:bottom w:val="single" w:sz="4" w:space="0" w:color="auto"/>
              <w:right w:val="single" w:sz="4" w:space="0" w:color="auto"/>
            </w:tcBorders>
            <w:shd w:val="clear" w:color="auto" w:fill="auto"/>
            <w:noWrap/>
            <w:vAlign w:val="center"/>
            <w:hideMark/>
          </w:tcPr>
          <w:p w14:paraId="5D7C42FE"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11</w:t>
            </w:r>
          </w:p>
        </w:tc>
        <w:tc>
          <w:tcPr>
            <w:tcW w:w="626" w:type="dxa"/>
            <w:tcBorders>
              <w:top w:val="nil"/>
              <w:left w:val="nil"/>
              <w:bottom w:val="single" w:sz="4" w:space="0" w:color="auto"/>
              <w:right w:val="single" w:sz="4" w:space="0" w:color="auto"/>
            </w:tcBorders>
            <w:shd w:val="clear" w:color="auto" w:fill="auto"/>
            <w:noWrap/>
            <w:vAlign w:val="center"/>
            <w:hideMark/>
          </w:tcPr>
          <w:p w14:paraId="0322F101"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12</w:t>
            </w:r>
          </w:p>
        </w:tc>
        <w:tc>
          <w:tcPr>
            <w:tcW w:w="626" w:type="dxa"/>
            <w:tcBorders>
              <w:top w:val="nil"/>
              <w:left w:val="nil"/>
              <w:bottom w:val="single" w:sz="4" w:space="0" w:color="auto"/>
              <w:right w:val="single" w:sz="4" w:space="0" w:color="auto"/>
            </w:tcBorders>
            <w:shd w:val="clear" w:color="auto" w:fill="auto"/>
            <w:noWrap/>
            <w:vAlign w:val="center"/>
            <w:hideMark/>
          </w:tcPr>
          <w:p w14:paraId="6E8467F6"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1</w:t>
            </w:r>
          </w:p>
        </w:tc>
        <w:tc>
          <w:tcPr>
            <w:tcW w:w="626" w:type="dxa"/>
            <w:tcBorders>
              <w:top w:val="nil"/>
              <w:left w:val="nil"/>
              <w:bottom w:val="single" w:sz="4" w:space="0" w:color="auto"/>
              <w:right w:val="single" w:sz="4" w:space="0" w:color="auto"/>
            </w:tcBorders>
            <w:shd w:val="clear" w:color="auto" w:fill="auto"/>
            <w:noWrap/>
            <w:vAlign w:val="center"/>
            <w:hideMark/>
          </w:tcPr>
          <w:p w14:paraId="689535D6"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2</w:t>
            </w:r>
          </w:p>
        </w:tc>
        <w:tc>
          <w:tcPr>
            <w:tcW w:w="626" w:type="dxa"/>
            <w:tcBorders>
              <w:top w:val="nil"/>
              <w:left w:val="nil"/>
              <w:bottom w:val="single" w:sz="4" w:space="0" w:color="auto"/>
              <w:right w:val="single" w:sz="4" w:space="0" w:color="auto"/>
            </w:tcBorders>
            <w:shd w:val="clear" w:color="auto" w:fill="auto"/>
            <w:noWrap/>
            <w:vAlign w:val="center"/>
            <w:hideMark/>
          </w:tcPr>
          <w:p w14:paraId="3F3F520C"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3</w:t>
            </w:r>
          </w:p>
        </w:tc>
        <w:tc>
          <w:tcPr>
            <w:tcW w:w="626" w:type="dxa"/>
            <w:tcBorders>
              <w:top w:val="nil"/>
              <w:left w:val="nil"/>
              <w:bottom w:val="single" w:sz="4" w:space="0" w:color="auto"/>
              <w:right w:val="single" w:sz="4" w:space="0" w:color="auto"/>
            </w:tcBorders>
            <w:shd w:val="clear" w:color="auto" w:fill="auto"/>
            <w:noWrap/>
            <w:vAlign w:val="center"/>
            <w:hideMark/>
          </w:tcPr>
          <w:p w14:paraId="7B3B6122"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4</w:t>
            </w:r>
          </w:p>
        </w:tc>
        <w:tc>
          <w:tcPr>
            <w:tcW w:w="626" w:type="dxa"/>
            <w:tcBorders>
              <w:top w:val="nil"/>
              <w:left w:val="nil"/>
              <w:bottom w:val="single" w:sz="4" w:space="0" w:color="auto"/>
              <w:right w:val="single" w:sz="4" w:space="0" w:color="auto"/>
            </w:tcBorders>
            <w:shd w:val="clear" w:color="auto" w:fill="auto"/>
            <w:noWrap/>
            <w:vAlign w:val="center"/>
            <w:hideMark/>
          </w:tcPr>
          <w:p w14:paraId="300A6032"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5</w:t>
            </w:r>
          </w:p>
        </w:tc>
        <w:tc>
          <w:tcPr>
            <w:tcW w:w="626" w:type="dxa"/>
            <w:tcBorders>
              <w:top w:val="nil"/>
              <w:left w:val="nil"/>
              <w:bottom w:val="single" w:sz="4" w:space="0" w:color="auto"/>
              <w:right w:val="single" w:sz="4" w:space="0" w:color="auto"/>
            </w:tcBorders>
            <w:shd w:val="clear" w:color="auto" w:fill="auto"/>
            <w:noWrap/>
            <w:vAlign w:val="center"/>
            <w:hideMark/>
          </w:tcPr>
          <w:p w14:paraId="191927F9" w14:textId="77777777" w:rsidR="00D923BB" w:rsidRPr="00AA34BE" w:rsidRDefault="00D923BB" w:rsidP="006240A3">
            <w:pPr>
              <w:jc w:val="center"/>
              <w:rPr>
                <w:rFonts w:cs="Arial"/>
                <w:color w:val="000000" w:themeColor="text1"/>
                <w:sz w:val="14"/>
                <w:szCs w:val="14"/>
              </w:rPr>
            </w:pPr>
            <w:r w:rsidRPr="00AA34BE">
              <w:rPr>
                <w:rFonts w:cs="Arial"/>
                <w:color w:val="000000" w:themeColor="text1"/>
                <w:sz w:val="14"/>
                <w:szCs w:val="14"/>
              </w:rPr>
              <w:t>6</w:t>
            </w:r>
          </w:p>
        </w:tc>
        <w:tc>
          <w:tcPr>
            <w:tcW w:w="820" w:type="dxa"/>
            <w:vMerge/>
            <w:tcBorders>
              <w:top w:val="nil"/>
              <w:left w:val="nil"/>
              <w:bottom w:val="single" w:sz="4" w:space="0" w:color="auto"/>
              <w:right w:val="single" w:sz="4" w:space="0" w:color="auto"/>
            </w:tcBorders>
            <w:shd w:val="clear" w:color="auto" w:fill="auto"/>
            <w:vAlign w:val="center"/>
            <w:hideMark/>
          </w:tcPr>
          <w:p w14:paraId="751F2BB5" w14:textId="77777777" w:rsidR="00D923BB" w:rsidRPr="00AA34BE" w:rsidRDefault="00D923BB" w:rsidP="006240A3">
            <w:pPr>
              <w:rPr>
                <w:rFonts w:cs="Arial"/>
                <w:color w:val="000000" w:themeColor="text1"/>
                <w:sz w:val="14"/>
                <w:szCs w:val="14"/>
              </w:rPr>
            </w:pPr>
          </w:p>
        </w:tc>
      </w:tr>
      <w:tr w:rsidR="00DD3445" w:rsidRPr="00AA34BE" w14:paraId="49CF7FBE" w14:textId="77777777" w:rsidTr="003F777A">
        <w:trPr>
          <w:trHeight w:val="390"/>
        </w:trPr>
        <w:tc>
          <w:tcPr>
            <w:tcW w:w="1382" w:type="dxa"/>
            <w:tcBorders>
              <w:top w:val="nil"/>
              <w:left w:val="single" w:sz="4" w:space="0" w:color="auto"/>
              <w:bottom w:val="single" w:sz="4" w:space="0" w:color="auto"/>
              <w:right w:val="single" w:sz="4" w:space="0" w:color="auto"/>
            </w:tcBorders>
            <w:shd w:val="clear" w:color="auto" w:fill="auto"/>
            <w:vAlign w:val="center"/>
            <w:hideMark/>
          </w:tcPr>
          <w:p w14:paraId="7A74104D" w14:textId="77777777" w:rsidR="00DD3445" w:rsidRPr="00AA34BE" w:rsidRDefault="00DD3445" w:rsidP="00DD3445">
            <w:pPr>
              <w:jc w:val="center"/>
              <w:rPr>
                <w:rFonts w:cs="Arial"/>
                <w:color w:val="000000" w:themeColor="text1"/>
                <w:sz w:val="14"/>
                <w:szCs w:val="14"/>
              </w:rPr>
            </w:pPr>
            <w:r w:rsidRPr="00AA34BE">
              <w:rPr>
                <w:rFonts w:cs="Arial"/>
                <w:color w:val="000000" w:themeColor="text1"/>
                <w:sz w:val="14"/>
                <w:szCs w:val="14"/>
              </w:rPr>
              <w:t>Производство на изход централи</w:t>
            </w:r>
          </w:p>
        </w:tc>
        <w:tc>
          <w:tcPr>
            <w:tcW w:w="552" w:type="dxa"/>
            <w:tcBorders>
              <w:top w:val="nil"/>
              <w:left w:val="nil"/>
              <w:bottom w:val="single" w:sz="4" w:space="0" w:color="auto"/>
              <w:right w:val="single" w:sz="4" w:space="0" w:color="auto"/>
            </w:tcBorders>
            <w:shd w:val="clear" w:color="auto" w:fill="auto"/>
            <w:noWrap/>
            <w:vAlign w:val="center"/>
            <w:hideMark/>
          </w:tcPr>
          <w:p w14:paraId="51A2456B" w14:textId="77777777" w:rsidR="00DD3445" w:rsidRPr="00AA34BE" w:rsidRDefault="00DD3445" w:rsidP="00DD3445">
            <w:pPr>
              <w:jc w:val="center"/>
              <w:rPr>
                <w:rFonts w:cs="Arial"/>
                <w:color w:val="000000" w:themeColor="text1"/>
                <w:sz w:val="14"/>
                <w:szCs w:val="14"/>
              </w:rPr>
            </w:pPr>
            <w:r w:rsidRPr="00AA34BE">
              <w:rPr>
                <w:rFonts w:cs="Arial"/>
                <w:color w:val="000000" w:themeColor="text1"/>
                <w:sz w:val="14"/>
                <w:szCs w:val="14"/>
              </w:rPr>
              <w:t>MWh</w:t>
            </w:r>
          </w:p>
        </w:tc>
        <w:tc>
          <w:tcPr>
            <w:tcW w:w="627" w:type="dxa"/>
            <w:tcBorders>
              <w:top w:val="single" w:sz="4" w:space="0" w:color="auto"/>
              <w:left w:val="single" w:sz="4" w:space="0" w:color="auto"/>
              <w:bottom w:val="single" w:sz="4" w:space="0" w:color="auto"/>
              <w:right w:val="single" w:sz="4" w:space="0" w:color="auto"/>
            </w:tcBorders>
            <w:shd w:val="clear" w:color="auto" w:fill="auto"/>
            <w:noWrap/>
            <w:hideMark/>
          </w:tcPr>
          <w:p w14:paraId="594E05FE" w14:textId="6AEC72D3" w:rsidR="00DD3445" w:rsidRPr="00DD3445" w:rsidRDefault="00DD3445" w:rsidP="00DD3445">
            <w:pPr>
              <w:jc w:val="center"/>
              <w:rPr>
                <w:rFonts w:cs="Arial"/>
                <w:color w:val="000000" w:themeColor="text1"/>
                <w:sz w:val="14"/>
                <w:szCs w:val="14"/>
                <w:lang w:val="en-US"/>
              </w:rPr>
            </w:pPr>
            <w:r w:rsidRPr="004320BA">
              <w:rPr>
                <w:color w:val="000000" w:themeColor="text1"/>
                <w:sz w:val="14"/>
                <w:szCs w:val="14"/>
                <w:lang w:val="en-US"/>
              </w:rPr>
              <w:t>xx xxx</w:t>
            </w:r>
          </w:p>
        </w:tc>
        <w:tc>
          <w:tcPr>
            <w:tcW w:w="627" w:type="dxa"/>
            <w:tcBorders>
              <w:top w:val="single" w:sz="4" w:space="0" w:color="auto"/>
              <w:left w:val="nil"/>
              <w:bottom w:val="single" w:sz="4" w:space="0" w:color="auto"/>
              <w:right w:val="single" w:sz="4" w:space="0" w:color="auto"/>
            </w:tcBorders>
            <w:shd w:val="clear" w:color="auto" w:fill="auto"/>
            <w:noWrap/>
            <w:hideMark/>
          </w:tcPr>
          <w:p w14:paraId="2148BF3C" w14:textId="2A1CBD19" w:rsidR="00DD3445" w:rsidRPr="00AA34BE" w:rsidRDefault="00DD3445" w:rsidP="00DD3445">
            <w:pPr>
              <w:jc w:val="center"/>
              <w:rPr>
                <w:rFonts w:cs="Arial"/>
                <w:color w:val="000000" w:themeColor="text1"/>
                <w:sz w:val="14"/>
                <w:szCs w:val="14"/>
              </w:rPr>
            </w:pPr>
            <w:r w:rsidRPr="004320B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7EDD3217" w14:textId="3D72F2AC"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single" w:sz="4" w:space="0" w:color="auto"/>
              <w:bottom w:val="single" w:sz="4" w:space="0" w:color="auto"/>
              <w:right w:val="single" w:sz="4" w:space="0" w:color="auto"/>
            </w:tcBorders>
            <w:shd w:val="clear" w:color="auto" w:fill="auto"/>
            <w:noWrap/>
            <w:hideMark/>
          </w:tcPr>
          <w:p w14:paraId="06D79FA2" w14:textId="5A394CF3"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1913C652" w14:textId="250226BE"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26AC01AC" w14:textId="1917DB99"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single" w:sz="4" w:space="0" w:color="auto"/>
              <w:bottom w:val="single" w:sz="4" w:space="0" w:color="auto"/>
              <w:right w:val="single" w:sz="4" w:space="0" w:color="auto"/>
            </w:tcBorders>
            <w:shd w:val="clear" w:color="auto" w:fill="auto"/>
            <w:noWrap/>
            <w:hideMark/>
          </w:tcPr>
          <w:p w14:paraId="2FC8DAB5" w14:textId="7A1655AA"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477B2693" w14:textId="70D02818"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5A83A08E" w14:textId="7F93B158"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single" w:sz="4" w:space="0" w:color="auto"/>
              <w:bottom w:val="single" w:sz="4" w:space="0" w:color="auto"/>
              <w:right w:val="single" w:sz="4" w:space="0" w:color="auto"/>
            </w:tcBorders>
            <w:shd w:val="clear" w:color="auto" w:fill="auto"/>
            <w:noWrap/>
            <w:hideMark/>
          </w:tcPr>
          <w:p w14:paraId="06B3488C" w14:textId="180F6D1E"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26F2D7FC" w14:textId="18D78DFD"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4D54B012" w14:textId="0D8DA6D4" w:rsidR="00DD3445" w:rsidRPr="00AA34BE" w:rsidRDefault="00DD3445" w:rsidP="00DD3445">
            <w:pPr>
              <w:jc w:val="center"/>
              <w:rPr>
                <w:rFonts w:cs="Arial"/>
                <w:color w:val="000000" w:themeColor="text1"/>
                <w:sz w:val="14"/>
                <w:szCs w:val="14"/>
              </w:rPr>
            </w:pPr>
            <w:r w:rsidRPr="00AE746B">
              <w:rPr>
                <w:color w:val="000000" w:themeColor="text1"/>
                <w:sz w:val="14"/>
                <w:szCs w:val="14"/>
                <w:lang w:val="en-US"/>
              </w:rPr>
              <w:t>xx xxx</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4F36DFE" w14:textId="51956858" w:rsidR="00DD3445" w:rsidRPr="00AA34BE" w:rsidRDefault="00DD3445" w:rsidP="00DD3445">
            <w:pPr>
              <w:jc w:val="center"/>
              <w:rPr>
                <w:rFonts w:cs="Arial"/>
                <w:color w:val="000000" w:themeColor="text1"/>
                <w:sz w:val="14"/>
                <w:szCs w:val="14"/>
              </w:rPr>
            </w:pPr>
            <w:r w:rsidRPr="00AE746B">
              <w:rPr>
                <w:color w:val="000000" w:themeColor="text1"/>
                <w:sz w:val="14"/>
                <w:szCs w:val="14"/>
                <w:lang w:val="en-US"/>
              </w:rPr>
              <w:t>x</w:t>
            </w:r>
            <w:r>
              <w:rPr>
                <w:color w:val="000000" w:themeColor="text1"/>
                <w:sz w:val="14"/>
                <w:szCs w:val="14"/>
                <w:lang w:val="en-US"/>
              </w:rPr>
              <w:t>x</w:t>
            </w:r>
            <w:r w:rsidRPr="00AE746B">
              <w:rPr>
                <w:color w:val="000000" w:themeColor="text1"/>
                <w:sz w:val="14"/>
                <w:szCs w:val="14"/>
                <w:lang w:val="en-US"/>
              </w:rPr>
              <w:t xml:space="preserve">x </w:t>
            </w:r>
            <w:proofErr w:type="spellStart"/>
            <w:r w:rsidRPr="00AE746B">
              <w:rPr>
                <w:color w:val="000000" w:themeColor="text1"/>
                <w:sz w:val="14"/>
                <w:szCs w:val="14"/>
                <w:lang w:val="en-US"/>
              </w:rPr>
              <w:t>xxx</w:t>
            </w:r>
            <w:proofErr w:type="spellEnd"/>
          </w:p>
        </w:tc>
      </w:tr>
      <w:tr w:rsidR="00DD3445" w:rsidRPr="00AA34BE" w14:paraId="7A6F6843" w14:textId="77777777" w:rsidTr="002B3699">
        <w:trPr>
          <w:trHeight w:val="195"/>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38646707" w14:textId="77777777" w:rsidR="00DD3445" w:rsidRPr="00AA34BE" w:rsidRDefault="00DD3445" w:rsidP="00DD3445">
            <w:pPr>
              <w:jc w:val="center"/>
              <w:rPr>
                <w:rFonts w:cs="Arial"/>
                <w:color w:val="000000" w:themeColor="text1"/>
                <w:sz w:val="14"/>
                <w:szCs w:val="14"/>
              </w:rPr>
            </w:pPr>
            <w:r w:rsidRPr="00AA34BE">
              <w:rPr>
                <w:rFonts w:cs="Arial"/>
                <w:color w:val="000000" w:themeColor="text1"/>
                <w:sz w:val="14"/>
                <w:szCs w:val="14"/>
              </w:rPr>
              <w:t>Реализация</w:t>
            </w:r>
          </w:p>
        </w:tc>
        <w:tc>
          <w:tcPr>
            <w:tcW w:w="552" w:type="dxa"/>
            <w:tcBorders>
              <w:top w:val="nil"/>
              <w:left w:val="nil"/>
              <w:bottom w:val="single" w:sz="4" w:space="0" w:color="auto"/>
              <w:right w:val="single" w:sz="4" w:space="0" w:color="auto"/>
            </w:tcBorders>
            <w:shd w:val="clear" w:color="auto" w:fill="auto"/>
            <w:noWrap/>
            <w:vAlign w:val="center"/>
            <w:hideMark/>
          </w:tcPr>
          <w:p w14:paraId="7ED14A8F" w14:textId="77777777" w:rsidR="00DD3445" w:rsidRPr="00AA34BE" w:rsidRDefault="00DD3445" w:rsidP="00DD3445">
            <w:pPr>
              <w:jc w:val="center"/>
              <w:rPr>
                <w:rFonts w:cs="Arial"/>
                <w:color w:val="000000" w:themeColor="text1"/>
                <w:sz w:val="14"/>
                <w:szCs w:val="14"/>
              </w:rPr>
            </w:pPr>
            <w:r w:rsidRPr="00AA34BE">
              <w:rPr>
                <w:rFonts w:cs="Arial"/>
                <w:color w:val="000000" w:themeColor="text1"/>
                <w:sz w:val="14"/>
                <w:szCs w:val="14"/>
              </w:rPr>
              <w:t>MWh</w:t>
            </w:r>
          </w:p>
        </w:tc>
        <w:tc>
          <w:tcPr>
            <w:tcW w:w="627" w:type="dxa"/>
            <w:tcBorders>
              <w:top w:val="nil"/>
              <w:left w:val="single" w:sz="4" w:space="0" w:color="auto"/>
              <w:bottom w:val="single" w:sz="4" w:space="0" w:color="auto"/>
              <w:right w:val="single" w:sz="4" w:space="0" w:color="auto"/>
            </w:tcBorders>
            <w:shd w:val="clear" w:color="auto" w:fill="auto"/>
            <w:noWrap/>
            <w:vAlign w:val="center"/>
            <w:hideMark/>
          </w:tcPr>
          <w:p w14:paraId="3E265A0B" w14:textId="69B58A27" w:rsidR="00DD3445" w:rsidRPr="00DD3445" w:rsidRDefault="00DD3445" w:rsidP="00DD3445">
            <w:pPr>
              <w:jc w:val="right"/>
              <w:rPr>
                <w:rFonts w:cs="Arial"/>
                <w:color w:val="000000" w:themeColor="text1"/>
                <w:sz w:val="14"/>
                <w:szCs w:val="14"/>
                <w:lang w:val="en-US"/>
              </w:rPr>
            </w:pPr>
            <w:r>
              <w:rPr>
                <w:color w:val="000000" w:themeColor="text1"/>
                <w:sz w:val="14"/>
                <w:szCs w:val="14"/>
                <w:lang w:val="en-US"/>
              </w:rPr>
              <w:t>x xxx</w:t>
            </w:r>
          </w:p>
        </w:tc>
        <w:tc>
          <w:tcPr>
            <w:tcW w:w="627" w:type="dxa"/>
            <w:tcBorders>
              <w:top w:val="nil"/>
              <w:left w:val="nil"/>
              <w:bottom w:val="single" w:sz="4" w:space="0" w:color="auto"/>
              <w:right w:val="single" w:sz="4" w:space="0" w:color="auto"/>
            </w:tcBorders>
            <w:shd w:val="clear" w:color="auto" w:fill="auto"/>
            <w:noWrap/>
            <w:vAlign w:val="center"/>
            <w:hideMark/>
          </w:tcPr>
          <w:p w14:paraId="605928D8" w14:textId="7E999FD2" w:rsidR="00DD3445" w:rsidRPr="00AA34BE" w:rsidRDefault="00DD3445" w:rsidP="00DD3445">
            <w:pPr>
              <w:jc w:val="right"/>
              <w:rPr>
                <w:rFonts w:cs="Arial"/>
                <w:color w:val="000000" w:themeColor="text1"/>
                <w:sz w:val="14"/>
                <w:szCs w:val="14"/>
              </w:rPr>
            </w:pPr>
            <w:r>
              <w:rPr>
                <w:color w:val="000000" w:themeColor="text1"/>
                <w:sz w:val="14"/>
                <w:szCs w:val="14"/>
                <w:lang w:val="en-US"/>
              </w:rPr>
              <w:t>x xxx</w:t>
            </w:r>
          </w:p>
        </w:tc>
        <w:tc>
          <w:tcPr>
            <w:tcW w:w="626" w:type="dxa"/>
            <w:tcBorders>
              <w:top w:val="nil"/>
              <w:left w:val="nil"/>
              <w:bottom w:val="single" w:sz="4" w:space="0" w:color="auto"/>
              <w:right w:val="single" w:sz="4" w:space="0" w:color="auto"/>
            </w:tcBorders>
            <w:shd w:val="clear" w:color="auto" w:fill="auto"/>
            <w:noWrap/>
            <w:hideMark/>
          </w:tcPr>
          <w:p w14:paraId="5780BFEF" w14:textId="5DECF725" w:rsidR="00DD3445" w:rsidRPr="00AA34BE" w:rsidRDefault="00DD3445" w:rsidP="00DD3445">
            <w:pPr>
              <w:jc w:val="right"/>
              <w:rPr>
                <w:rFonts w:cs="Arial"/>
                <w:color w:val="000000" w:themeColor="text1"/>
                <w:sz w:val="14"/>
                <w:szCs w:val="14"/>
              </w:rPr>
            </w:pPr>
            <w:r w:rsidRPr="00F048C5">
              <w:rPr>
                <w:color w:val="000000" w:themeColor="text1"/>
                <w:sz w:val="14"/>
                <w:szCs w:val="14"/>
                <w:lang w:val="en-US"/>
              </w:rPr>
              <w:t>x xxx</w:t>
            </w:r>
          </w:p>
        </w:tc>
        <w:tc>
          <w:tcPr>
            <w:tcW w:w="626" w:type="dxa"/>
            <w:tcBorders>
              <w:top w:val="nil"/>
              <w:left w:val="single" w:sz="4" w:space="0" w:color="auto"/>
              <w:bottom w:val="single" w:sz="4" w:space="0" w:color="auto"/>
              <w:right w:val="single" w:sz="4" w:space="0" w:color="auto"/>
            </w:tcBorders>
            <w:shd w:val="clear" w:color="auto" w:fill="auto"/>
            <w:noWrap/>
            <w:hideMark/>
          </w:tcPr>
          <w:p w14:paraId="01500906" w14:textId="266C78FC" w:rsidR="00DD3445" w:rsidRPr="00AA34BE" w:rsidRDefault="00DD3445" w:rsidP="00DD3445">
            <w:pPr>
              <w:jc w:val="right"/>
              <w:rPr>
                <w:rFonts w:cs="Arial"/>
                <w:color w:val="000000" w:themeColor="text1"/>
                <w:sz w:val="14"/>
                <w:szCs w:val="14"/>
              </w:rPr>
            </w:pPr>
            <w:r w:rsidRPr="00F048C5">
              <w:rPr>
                <w:color w:val="000000" w:themeColor="text1"/>
                <w:sz w:val="14"/>
                <w:szCs w:val="14"/>
                <w:lang w:val="en-US"/>
              </w:rPr>
              <w:t>x xxx</w:t>
            </w:r>
          </w:p>
        </w:tc>
        <w:tc>
          <w:tcPr>
            <w:tcW w:w="626" w:type="dxa"/>
            <w:tcBorders>
              <w:top w:val="nil"/>
              <w:left w:val="nil"/>
              <w:bottom w:val="single" w:sz="4" w:space="0" w:color="auto"/>
              <w:right w:val="single" w:sz="4" w:space="0" w:color="auto"/>
            </w:tcBorders>
            <w:shd w:val="clear" w:color="auto" w:fill="auto"/>
            <w:noWrap/>
            <w:vAlign w:val="center"/>
            <w:hideMark/>
          </w:tcPr>
          <w:p w14:paraId="7676CC72" w14:textId="228A625F" w:rsidR="00DD3445" w:rsidRPr="00AA34BE" w:rsidRDefault="00DD3445" w:rsidP="00DD3445">
            <w:pPr>
              <w:jc w:val="right"/>
              <w:rPr>
                <w:rFonts w:cs="Arial"/>
                <w:color w:val="000000" w:themeColor="text1"/>
                <w:sz w:val="14"/>
                <w:szCs w:val="14"/>
              </w:rPr>
            </w:pPr>
            <w:r w:rsidRPr="00FD5BAA">
              <w:rPr>
                <w:color w:val="000000" w:themeColor="text1"/>
                <w:sz w:val="14"/>
                <w:szCs w:val="14"/>
                <w:lang w:val="en-US"/>
              </w:rPr>
              <w:t>xx xxx</w:t>
            </w:r>
          </w:p>
        </w:tc>
        <w:tc>
          <w:tcPr>
            <w:tcW w:w="626" w:type="dxa"/>
            <w:tcBorders>
              <w:top w:val="nil"/>
              <w:left w:val="nil"/>
              <w:bottom w:val="single" w:sz="4" w:space="0" w:color="auto"/>
              <w:right w:val="single" w:sz="4" w:space="0" w:color="auto"/>
            </w:tcBorders>
            <w:shd w:val="clear" w:color="auto" w:fill="auto"/>
            <w:noWrap/>
            <w:vAlign w:val="center"/>
            <w:hideMark/>
          </w:tcPr>
          <w:p w14:paraId="468E2421" w14:textId="5CC6A5F0" w:rsidR="00DD3445" w:rsidRPr="00AA34BE" w:rsidRDefault="00DD3445" w:rsidP="00DD3445">
            <w:pPr>
              <w:jc w:val="right"/>
              <w:rPr>
                <w:rFonts w:cs="Arial"/>
                <w:color w:val="000000" w:themeColor="text1"/>
                <w:sz w:val="14"/>
                <w:szCs w:val="14"/>
              </w:rPr>
            </w:pPr>
            <w:r w:rsidRPr="00FD5BAA">
              <w:rPr>
                <w:color w:val="000000" w:themeColor="text1"/>
                <w:sz w:val="14"/>
                <w:szCs w:val="14"/>
                <w:lang w:val="en-US"/>
              </w:rPr>
              <w:t>xx xxx</w:t>
            </w:r>
          </w:p>
        </w:tc>
        <w:tc>
          <w:tcPr>
            <w:tcW w:w="626" w:type="dxa"/>
            <w:tcBorders>
              <w:top w:val="nil"/>
              <w:left w:val="single" w:sz="4" w:space="0" w:color="auto"/>
              <w:bottom w:val="single" w:sz="4" w:space="0" w:color="auto"/>
              <w:right w:val="single" w:sz="4" w:space="0" w:color="auto"/>
            </w:tcBorders>
            <w:shd w:val="clear" w:color="auto" w:fill="auto"/>
            <w:noWrap/>
            <w:hideMark/>
          </w:tcPr>
          <w:p w14:paraId="560CEEF6" w14:textId="27D9B8F1" w:rsidR="00DD3445" w:rsidRPr="00AA34BE" w:rsidRDefault="00DD3445" w:rsidP="00DD3445">
            <w:pPr>
              <w:jc w:val="right"/>
              <w:rPr>
                <w:rFonts w:cs="Arial"/>
                <w:color w:val="000000" w:themeColor="text1"/>
                <w:sz w:val="14"/>
                <w:szCs w:val="14"/>
              </w:rPr>
            </w:pPr>
            <w:r w:rsidRPr="008213ED">
              <w:rPr>
                <w:color w:val="000000" w:themeColor="text1"/>
                <w:sz w:val="14"/>
                <w:szCs w:val="14"/>
                <w:lang w:val="en-US"/>
              </w:rPr>
              <w:t>xx xxx</w:t>
            </w:r>
          </w:p>
        </w:tc>
        <w:tc>
          <w:tcPr>
            <w:tcW w:w="626" w:type="dxa"/>
            <w:tcBorders>
              <w:top w:val="nil"/>
              <w:left w:val="nil"/>
              <w:bottom w:val="single" w:sz="4" w:space="0" w:color="auto"/>
              <w:right w:val="single" w:sz="4" w:space="0" w:color="auto"/>
            </w:tcBorders>
            <w:shd w:val="clear" w:color="auto" w:fill="auto"/>
            <w:noWrap/>
            <w:hideMark/>
          </w:tcPr>
          <w:p w14:paraId="49383F90" w14:textId="0C81C1B9" w:rsidR="00DD3445" w:rsidRPr="00AA34BE" w:rsidRDefault="00DD3445" w:rsidP="00DD3445">
            <w:pPr>
              <w:jc w:val="right"/>
              <w:rPr>
                <w:rFonts w:cs="Arial"/>
                <w:color w:val="000000" w:themeColor="text1"/>
                <w:sz w:val="14"/>
                <w:szCs w:val="14"/>
              </w:rPr>
            </w:pPr>
            <w:r w:rsidRPr="008213ED">
              <w:rPr>
                <w:color w:val="000000" w:themeColor="text1"/>
                <w:sz w:val="14"/>
                <w:szCs w:val="14"/>
                <w:lang w:val="en-US"/>
              </w:rPr>
              <w:t>xx xxx</w:t>
            </w:r>
          </w:p>
        </w:tc>
        <w:tc>
          <w:tcPr>
            <w:tcW w:w="626" w:type="dxa"/>
            <w:tcBorders>
              <w:top w:val="nil"/>
              <w:left w:val="nil"/>
              <w:bottom w:val="single" w:sz="4" w:space="0" w:color="auto"/>
              <w:right w:val="single" w:sz="4" w:space="0" w:color="auto"/>
            </w:tcBorders>
            <w:shd w:val="clear" w:color="auto" w:fill="auto"/>
            <w:noWrap/>
            <w:hideMark/>
          </w:tcPr>
          <w:p w14:paraId="0DEB5C3F" w14:textId="080A95E2" w:rsidR="00DD3445" w:rsidRPr="00AA34BE" w:rsidRDefault="00DD3445" w:rsidP="00DD3445">
            <w:pPr>
              <w:jc w:val="right"/>
              <w:rPr>
                <w:rFonts w:cs="Arial"/>
                <w:color w:val="000000" w:themeColor="text1"/>
                <w:sz w:val="14"/>
                <w:szCs w:val="14"/>
              </w:rPr>
            </w:pPr>
            <w:r w:rsidRPr="00115E08">
              <w:rPr>
                <w:color w:val="000000" w:themeColor="text1"/>
                <w:sz w:val="14"/>
                <w:szCs w:val="14"/>
                <w:lang w:val="en-US"/>
              </w:rPr>
              <w:t>xx xxx</w:t>
            </w:r>
          </w:p>
        </w:tc>
        <w:tc>
          <w:tcPr>
            <w:tcW w:w="626" w:type="dxa"/>
            <w:tcBorders>
              <w:top w:val="nil"/>
              <w:left w:val="single" w:sz="4" w:space="0" w:color="auto"/>
              <w:bottom w:val="single" w:sz="4" w:space="0" w:color="auto"/>
              <w:right w:val="single" w:sz="4" w:space="0" w:color="auto"/>
            </w:tcBorders>
            <w:shd w:val="clear" w:color="auto" w:fill="auto"/>
            <w:noWrap/>
            <w:hideMark/>
          </w:tcPr>
          <w:p w14:paraId="193E83B4" w14:textId="2F17929F" w:rsidR="00DD3445" w:rsidRPr="00AA34BE" w:rsidRDefault="00DD3445" w:rsidP="00DD3445">
            <w:pPr>
              <w:jc w:val="right"/>
              <w:rPr>
                <w:rFonts w:cs="Arial"/>
                <w:color w:val="000000" w:themeColor="text1"/>
                <w:sz w:val="14"/>
                <w:szCs w:val="14"/>
              </w:rPr>
            </w:pPr>
            <w:r w:rsidRPr="00115E08">
              <w:rPr>
                <w:color w:val="000000" w:themeColor="text1"/>
                <w:sz w:val="14"/>
                <w:szCs w:val="14"/>
                <w:lang w:val="en-US"/>
              </w:rPr>
              <w:t>xx xxx</w:t>
            </w:r>
          </w:p>
        </w:tc>
        <w:tc>
          <w:tcPr>
            <w:tcW w:w="626" w:type="dxa"/>
            <w:tcBorders>
              <w:top w:val="nil"/>
              <w:left w:val="nil"/>
              <w:bottom w:val="single" w:sz="4" w:space="0" w:color="auto"/>
              <w:right w:val="single" w:sz="4" w:space="0" w:color="auto"/>
            </w:tcBorders>
            <w:shd w:val="clear" w:color="auto" w:fill="auto"/>
            <w:noWrap/>
            <w:hideMark/>
          </w:tcPr>
          <w:p w14:paraId="0E4F4751" w14:textId="12E2DD83" w:rsidR="00DD3445" w:rsidRPr="00AA34BE" w:rsidRDefault="00DD3445" w:rsidP="00DD3445">
            <w:pPr>
              <w:jc w:val="right"/>
              <w:rPr>
                <w:rFonts w:cs="Arial"/>
                <w:color w:val="000000" w:themeColor="text1"/>
                <w:sz w:val="14"/>
                <w:szCs w:val="14"/>
              </w:rPr>
            </w:pPr>
            <w:r w:rsidRPr="00AF4F51">
              <w:rPr>
                <w:color w:val="000000" w:themeColor="text1"/>
                <w:sz w:val="14"/>
                <w:szCs w:val="14"/>
                <w:lang w:val="en-US"/>
              </w:rPr>
              <w:t>x xxx</w:t>
            </w:r>
          </w:p>
        </w:tc>
        <w:tc>
          <w:tcPr>
            <w:tcW w:w="626" w:type="dxa"/>
            <w:tcBorders>
              <w:top w:val="nil"/>
              <w:left w:val="nil"/>
              <w:bottom w:val="single" w:sz="4" w:space="0" w:color="auto"/>
              <w:right w:val="single" w:sz="4" w:space="0" w:color="auto"/>
            </w:tcBorders>
            <w:shd w:val="clear" w:color="auto" w:fill="auto"/>
            <w:noWrap/>
            <w:hideMark/>
          </w:tcPr>
          <w:p w14:paraId="126FA760" w14:textId="7A91975B" w:rsidR="00DD3445" w:rsidRPr="00AA34BE" w:rsidRDefault="00DD3445" w:rsidP="00DD3445">
            <w:pPr>
              <w:jc w:val="right"/>
              <w:rPr>
                <w:rFonts w:cs="Arial"/>
                <w:color w:val="000000" w:themeColor="text1"/>
                <w:sz w:val="14"/>
                <w:szCs w:val="14"/>
              </w:rPr>
            </w:pPr>
            <w:r w:rsidRPr="00AF4F51">
              <w:rPr>
                <w:color w:val="000000" w:themeColor="text1"/>
                <w:sz w:val="14"/>
                <w:szCs w:val="14"/>
                <w:lang w:val="en-US"/>
              </w:rPr>
              <w:t>x xxx</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74C326" w14:textId="579DB5BF" w:rsidR="00DD3445" w:rsidRPr="00AA34BE" w:rsidRDefault="00DD3445" w:rsidP="00DD3445">
            <w:pPr>
              <w:jc w:val="right"/>
              <w:rPr>
                <w:rFonts w:cs="Arial"/>
                <w:color w:val="000000" w:themeColor="text1"/>
                <w:sz w:val="14"/>
                <w:szCs w:val="14"/>
              </w:rPr>
            </w:pPr>
            <w:r w:rsidRPr="00AE746B">
              <w:rPr>
                <w:color w:val="000000" w:themeColor="text1"/>
                <w:sz w:val="14"/>
                <w:szCs w:val="14"/>
                <w:lang w:val="en-US"/>
              </w:rPr>
              <w:t>x</w:t>
            </w:r>
            <w:r>
              <w:rPr>
                <w:color w:val="000000" w:themeColor="text1"/>
                <w:sz w:val="14"/>
                <w:szCs w:val="14"/>
                <w:lang w:val="en-US"/>
              </w:rPr>
              <w:t>x</w:t>
            </w:r>
            <w:r w:rsidRPr="00AE746B">
              <w:rPr>
                <w:color w:val="000000" w:themeColor="text1"/>
                <w:sz w:val="14"/>
                <w:szCs w:val="14"/>
                <w:lang w:val="en-US"/>
              </w:rPr>
              <w:t xml:space="preserve">x </w:t>
            </w:r>
            <w:proofErr w:type="spellStart"/>
            <w:r w:rsidRPr="00AE746B">
              <w:rPr>
                <w:color w:val="000000" w:themeColor="text1"/>
                <w:sz w:val="14"/>
                <w:szCs w:val="14"/>
                <w:lang w:val="en-US"/>
              </w:rPr>
              <w:t>xxx</w:t>
            </w:r>
            <w:proofErr w:type="spellEnd"/>
          </w:p>
        </w:tc>
      </w:tr>
      <w:tr w:rsidR="00AA34BE" w:rsidRPr="00AA34BE" w14:paraId="2A7C5439" w14:textId="77777777" w:rsidTr="006240A3">
        <w:trPr>
          <w:trHeight w:val="975"/>
        </w:trPr>
        <w:tc>
          <w:tcPr>
            <w:tcW w:w="1382" w:type="dxa"/>
            <w:tcBorders>
              <w:top w:val="nil"/>
              <w:left w:val="single" w:sz="4" w:space="0" w:color="auto"/>
              <w:bottom w:val="single" w:sz="4" w:space="0" w:color="auto"/>
              <w:right w:val="single" w:sz="4" w:space="0" w:color="auto"/>
            </w:tcBorders>
            <w:shd w:val="clear" w:color="auto" w:fill="auto"/>
            <w:vAlign w:val="center"/>
            <w:hideMark/>
          </w:tcPr>
          <w:p w14:paraId="1EFFBBEB" w14:textId="77777777" w:rsidR="00D923BB" w:rsidRPr="00AA34BE" w:rsidRDefault="00D923BB" w:rsidP="006240A3">
            <w:pPr>
              <w:jc w:val="center"/>
              <w:rPr>
                <w:rFonts w:cs="Arial"/>
                <w:color w:val="000000" w:themeColor="text1"/>
                <w:sz w:val="14"/>
                <w:szCs w:val="14"/>
                <w:lang w:val="en-US"/>
              </w:rPr>
            </w:pPr>
            <w:r w:rsidRPr="00AA34BE">
              <w:rPr>
                <w:rFonts w:cs="Arial"/>
                <w:color w:val="000000" w:themeColor="text1"/>
                <w:sz w:val="14"/>
                <w:szCs w:val="14"/>
              </w:rPr>
              <w:t>Очаквани температури на външния въздух за периода 202</w:t>
            </w:r>
            <w:r w:rsidRPr="00AA34BE">
              <w:rPr>
                <w:rFonts w:cs="Arial"/>
                <w:color w:val="000000" w:themeColor="text1"/>
                <w:sz w:val="14"/>
                <w:szCs w:val="14"/>
                <w:lang w:val="en-US"/>
              </w:rPr>
              <w:t>4</w:t>
            </w:r>
            <w:r w:rsidRPr="00AA34BE">
              <w:rPr>
                <w:rFonts w:cs="Arial"/>
                <w:color w:val="000000" w:themeColor="text1"/>
                <w:sz w:val="14"/>
                <w:szCs w:val="14"/>
              </w:rPr>
              <w:t>-202</w:t>
            </w:r>
            <w:r w:rsidRPr="00AA34BE">
              <w:rPr>
                <w:rFonts w:cs="Arial"/>
                <w:color w:val="000000" w:themeColor="text1"/>
                <w:sz w:val="14"/>
                <w:szCs w:val="14"/>
                <w:lang w:val="en-US"/>
              </w:rPr>
              <w:t>5</w:t>
            </w:r>
          </w:p>
        </w:tc>
        <w:tc>
          <w:tcPr>
            <w:tcW w:w="552" w:type="dxa"/>
            <w:tcBorders>
              <w:top w:val="nil"/>
              <w:left w:val="nil"/>
              <w:bottom w:val="single" w:sz="4" w:space="0" w:color="auto"/>
              <w:right w:val="single" w:sz="4" w:space="0" w:color="auto"/>
            </w:tcBorders>
            <w:shd w:val="clear" w:color="auto" w:fill="auto"/>
            <w:noWrap/>
            <w:vAlign w:val="center"/>
            <w:hideMark/>
          </w:tcPr>
          <w:p w14:paraId="53D8D74C" w14:textId="77777777" w:rsidR="00D923BB" w:rsidRPr="00AA34BE" w:rsidRDefault="00D923BB" w:rsidP="006240A3">
            <w:pPr>
              <w:jc w:val="center"/>
              <w:rPr>
                <w:rFonts w:cs="Arial"/>
                <w:color w:val="000000" w:themeColor="text1"/>
                <w:sz w:val="14"/>
                <w:szCs w:val="14"/>
              </w:rPr>
            </w:pPr>
            <w:proofErr w:type="spellStart"/>
            <w:r w:rsidRPr="00AA34BE">
              <w:rPr>
                <w:rFonts w:cs="Arial"/>
                <w:color w:val="000000" w:themeColor="text1"/>
                <w:sz w:val="14"/>
                <w:szCs w:val="14"/>
                <w:vertAlign w:val="superscript"/>
              </w:rPr>
              <w:t>o</w:t>
            </w:r>
            <w:r w:rsidRPr="00AA34BE">
              <w:rPr>
                <w:rFonts w:cs="Arial"/>
                <w:color w:val="000000" w:themeColor="text1"/>
                <w:sz w:val="14"/>
                <w:szCs w:val="14"/>
              </w:rPr>
              <w:t>C</w:t>
            </w:r>
            <w:proofErr w:type="spellEnd"/>
          </w:p>
        </w:tc>
        <w:tc>
          <w:tcPr>
            <w:tcW w:w="627" w:type="dxa"/>
            <w:tcBorders>
              <w:top w:val="nil"/>
              <w:left w:val="single" w:sz="4" w:space="0" w:color="auto"/>
              <w:bottom w:val="single" w:sz="4" w:space="0" w:color="auto"/>
              <w:right w:val="single" w:sz="4" w:space="0" w:color="auto"/>
            </w:tcBorders>
            <w:shd w:val="clear" w:color="auto" w:fill="auto"/>
            <w:noWrap/>
            <w:vAlign w:val="center"/>
            <w:hideMark/>
          </w:tcPr>
          <w:p w14:paraId="40C86FE7" w14:textId="532D98B7" w:rsidR="00D923BB" w:rsidRPr="00DD3445" w:rsidRDefault="00DD3445" w:rsidP="006240A3">
            <w:pPr>
              <w:jc w:val="center"/>
              <w:rPr>
                <w:rFonts w:cs="Arial"/>
                <w:color w:val="000000" w:themeColor="text1"/>
                <w:sz w:val="14"/>
                <w:szCs w:val="14"/>
                <w:lang w:val="en-US"/>
              </w:rPr>
            </w:pPr>
            <w:proofErr w:type="spellStart"/>
            <w:r>
              <w:rPr>
                <w:color w:val="000000" w:themeColor="text1"/>
                <w:sz w:val="14"/>
                <w:szCs w:val="14"/>
                <w:lang w:val="en-US"/>
              </w:rPr>
              <w:t>xx.xx</w:t>
            </w:r>
            <w:proofErr w:type="spellEnd"/>
          </w:p>
        </w:tc>
        <w:tc>
          <w:tcPr>
            <w:tcW w:w="627" w:type="dxa"/>
            <w:tcBorders>
              <w:top w:val="nil"/>
              <w:left w:val="nil"/>
              <w:bottom w:val="single" w:sz="4" w:space="0" w:color="auto"/>
              <w:right w:val="single" w:sz="4" w:space="0" w:color="auto"/>
            </w:tcBorders>
            <w:shd w:val="clear" w:color="auto" w:fill="auto"/>
            <w:noWrap/>
            <w:vAlign w:val="center"/>
            <w:hideMark/>
          </w:tcPr>
          <w:p w14:paraId="6479BCF8" w14:textId="32808E9A" w:rsidR="00D923BB" w:rsidRPr="00DD3445" w:rsidRDefault="00DD3445" w:rsidP="006240A3">
            <w:pPr>
              <w:jc w:val="center"/>
              <w:rPr>
                <w:rFonts w:cs="Arial"/>
                <w:color w:val="000000" w:themeColor="text1"/>
                <w:sz w:val="14"/>
                <w:szCs w:val="14"/>
                <w:lang w:val="en-US"/>
              </w:rPr>
            </w:pPr>
            <w:proofErr w:type="spellStart"/>
            <w:r>
              <w:rPr>
                <w:color w:val="000000" w:themeColor="text1"/>
                <w:sz w:val="14"/>
                <w:szCs w:val="14"/>
                <w:lang w:val="en-US"/>
              </w:rPr>
              <w:t>xx.xx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2D535DF2" w14:textId="2EBAF653" w:rsidR="00D923BB" w:rsidRPr="00AA34BE" w:rsidRDefault="00DD3445" w:rsidP="006240A3">
            <w:pPr>
              <w:jc w:val="center"/>
              <w:rPr>
                <w:rFonts w:cs="Arial"/>
                <w:color w:val="000000" w:themeColor="text1"/>
                <w:sz w:val="14"/>
                <w:szCs w:val="14"/>
              </w:rPr>
            </w:pPr>
            <w:proofErr w:type="spellStart"/>
            <w:r>
              <w:rPr>
                <w:color w:val="000000" w:themeColor="text1"/>
                <w:sz w:val="14"/>
                <w:szCs w:val="14"/>
                <w:lang w:val="en-US"/>
              </w:rPr>
              <w:t>xx.xx</w:t>
            </w:r>
            <w:proofErr w:type="spellEnd"/>
          </w:p>
        </w:tc>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247DD4F" w14:textId="6D6320DE" w:rsidR="00D923BB" w:rsidRPr="00AA34BE" w:rsidRDefault="00DD3445" w:rsidP="006240A3">
            <w:pPr>
              <w:jc w:val="center"/>
              <w:rPr>
                <w:rFonts w:cs="Arial"/>
                <w:color w:val="000000" w:themeColor="text1"/>
                <w:sz w:val="14"/>
                <w:szCs w:val="14"/>
              </w:rPr>
            </w:pPr>
            <w:proofErr w:type="spellStart"/>
            <w:r>
              <w:rPr>
                <w:color w:val="000000" w:themeColor="text1"/>
                <w:sz w:val="14"/>
                <w:szCs w:val="14"/>
                <w:lang w:val="en-US"/>
              </w:rPr>
              <w:t>xx.xx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4A021C14" w14:textId="5364FBA2" w:rsidR="00D923BB" w:rsidRPr="00DD3445" w:rsidRDefault="00DD3445" w:rsidP="006240A3">
            <w:pPr>
              <w:jc w:val="center"/>
              <w:rPr>
                <w:rFonts w:cs="Arial"/>
                <w:color w:val="000000" w:themeColor="text1"/>
                <w:sz w:val="14"/>
                <w:szCs w:val="14"/>
                <w:lang w:val="en-US"/>
              </w:rPr>
            </w:pPr>
            <w:proofErr w:type="spellStart"/>
            <w:r>
              <w:rPr>
                <w:color w:val="000000" w:themeColor="text1"/>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4DFC192F" w14:textId="1F5CFC23" w:rsidR="00D923BB" w:rsidRPr="00DD3445" w:rsidRDefault="00DD3445" w:rsidP="006240A3">
            <w:pPr>
              <w:jc w:val="center"/>
              <w:rPr>
                <w:rFonts w:cs="Arial"/>
                <w:color w:val="000000" w:themeColor="text1"/>
                <w:sz w:val="14"/>
                <w:szCs w:val="14"/>
                <w:lang w:val="en-US"/>
              </w:rPr>
            </w:pPr>
            <w:proofErr w:type="spellStart"/>
            <w:r>
              <w:rPr>
                <w:color w:val="000000" w:themeColor="text1"/>
                <w:sz w:val="14"/>
                <w:szCs w:val="14"/>
                <w:lang w:val="en-US"/>
              </w:rPr>
              <w:t>x.xx</w:t>
            </w:r>
            <w:proofErr w:type="spellEnd"/>
          </w:p>
        </w:tc>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B5F0BD2" w14:textId="7429EC38" w:rsidR="00D923BB" w:rsidRPr="00DD3445" w:rsidRDefault="00DD3445" w:rsidP="006240A3">
            <w:pPr>
              <w:jc w:val="center"/>
              <w:rPr>
                <w:rFonts w:cs="Arial"/>
                <w:color w:val="000000" w:themeColor="text1"/>
                <w:sz w:val="14"/>
                <w:szCs w:val="14"/>
                <w:lang w:val="en-US"/>
              </w:rPr>
            </w:pPr>
            <w:proofErr w:type="spellStart"/>
            <w:r>
              <w:rPr>
                <w:color w:val="000000" w:themeColor="text1"/>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685558C5" w14:textId="6B431043" w:rsidR="00D923BB" w:rsidRPr="00DD3445" w:rsidRDefault="00DD3445" w:rsidP="006240A3">
            <w:pPr>
              <w:jc w:val="center"/>
              <w:rPr>
                <w:rFonts w:cs="Arial"/>
                <w:color w:val="000000" w:themeColor="text1"/>
                <w:sz w:val="14"/>
                <w:szCs w:val="14"/>
                <w:lang w:val="en-US"/>
              </w:rPr>
            </w:pPr>
            <w:proofErr w:type="spellStart"/>
            <w:r>
              <w:rPr>
                <w:color w:val="000000" w:themeColor="text1"/>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2D3B6378" w14:textId="659D4C62" w:rsidR="00D923BB" w:rsidRPr="00DD3445" w:rsidRDefault="00DD3445" w:rsidP="006240A3">
            <w:pPr>
              <w:jc w:val="center"/>
              <w:rPr>
                <w:rFonts w:cs="Arial"/>
                <w:color w:val="000000" w:themeColor="text1"/>
                <w:sz w:val="14"/>
                <w:szCs w:val="14"/>
                <w:lang w:val="en-US"/>
              </w:rPr>
            </w:pPr>
            <w:proofErr w:type="spellStart"/>
            <w:r>
              <w:rPr>
                <w:color w:val="000000" w:themeColor="text1"/>
                <w:sz w:val="14"/>
                <w:szCs w:val="14"/>
                <w:lang w:val="en-US"/>
              </w:rPr>
              <w:t>x.xx</w:t>
            </w:r>
            <w:proofErr w:type="spellEnd"/>
          </w:p>
        </w:tc>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5A63CDA1" w14:textId="6198B78B" w:rsidR="00D923BB" w:rsidRPr="00AA34BE" w:rsidRDefault="00DD3445" w:rsidP="006240A3">
            <w:pPr>
              <w:jc w:val="center"/>
              <w:rPr>
                <w:rFonts w:cs="Arial"/>
                <w:color w:val="000000" w:themeColor="text1"/>
                <w:sz w:val="14"/>
                <w:szCs w:val="14"/>
              </w:rPr>
            </w:pPr>
            <w:proofErr w:type="spellStart"/>
            <w:r>
              <w:rPr>
                <w:color w:val="000000" w:themeColor="text1"/>
                <w:sz w:val="14"/>
                <w:szCs w:val="14"/>
                <w:lang w:val="en-US"/>
              </w:rPr>
              <w:t>xx.xx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41D48DED" w14:textId="5B0AF7CF" w:rsidR="00D923BB" w:rsidRPr="00AA34BE" w:rsidRDefault="00DD3445" w:rsidP="006240A3">
            <w:pPr>
              <w:jc w:val="center"/>
              <w:rPr>
                <w:rFonts w:cs="Arial"/>
                <w:color w:val="000000" w:themeColor="text1"/>
                <w:sz w:val="14"/>
                <w:szCs w:val="14"/>
              </w:rPr>
            </w:pPr>
            <w:proofErr w:type="spellStart"/>
            <w:r>
              <w:rPr>
                <w:color w:val="000000" w:themeColor="text1"/>
                <w:sz w:val="14"/>
                <w:szCs w:val="14"/>
                <w:lang w:val="en-US"/>
              </w:rPr>
              <w:t>xx.xx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1255A148" w14:textId="011BF423" w:rsidR="00D923BB" w:rsidRPr="00AA34BE" w:rsidRDefault="00DD3445" w:rsidP="006240A3">
            <w:pPr>
              <w:jc w:val="center"/>
              <w:rPr>
                <w:rFonts w:cs="Arial"/>
                <w:color w:val="000000" w:themeColor="text1"/>
                <w:sz w:val="14"/>
                <w:szCs w:val="14"/>
              </w:rPr>
            </w:pPr>
            <w:proofErr w:type="spellStart"/>
            <w:r>
              <w:rPr>
                <w:color w:val="000000" w:themeColor="text1"/>
                <w:sz w:val="14"/>
                <w:szCs w:val="14"/>
                <w:lang w:val="en-US"/>
              </w:rPr>
              <w:t>xx.xx</w:t>
            </w:r>
            <w:proofErr w:type="spellEnd"/>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A18F502" w14:textId="1155DB2A" w:rsidR="00D923BB" w:rsidRPr="00AA34BE" w:rsidRDefault="00DD3445" w:rsidP="006240A3">
            <w:pPr>
              <w:jc w:val="center"/>
              <w:rPr>
                <w:rFonts w:cs="Arial"/>
                <w:color w:val="000000" w:themeColor="text1"/>
                <w:sz w:val="14"/>
                <w:szCs w:val="14"/>
              </w:rPr>
            </w:pPr>
            <w:proofErr w:type="spellStart"/>
            <w:r>
              <w:rPr>
                <w:color w:val="000000" w:themeColor="text1"/>
                <w:sz w:val="14"/>
                <w:szCs w:val="14"/>
                <w:lang w:val="en-US"/>
              </w:rPr>
              <w:t>xx.xx</w:t>
            </w:r>
            <w:proofErr w:type="spellEnd"/>
          </w:p>
        </w:tc>
      </w:tr>
      <w:tr w:rsidR="00AA34BE" w:rsidRPr="00AA34BE" w14:paraId="70A6116D" w14:textId="77777777" w:rsidTr="006240A3">
        <w:trPr>
          <w:trHeight w:val="195"/>
        </w:trPr>
        <w:tc>
          <w:tcPr>
            <w:tcW w:w="10268"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7EB7EA57" w14:textId="77777777" w:rsidR="00D923BB" w:rsidRPr="00AA34BE" w:rsidRDefault="00D923BB" w:rsidP="006240A3">
            <w:pPr>
              <w:jc w:val="center"/>
              <w:rPr>
                <w:rFonts w:cs="Arial"/>
                <w:b/>
                <w:bCs/>
                <w:color w:val="000000" w:themeColor="text1"/>
                <w:sz w:val="14"/>
                <w:szCs w:val="14"/>
              </w:rPr>
            </w:pPr>
            <w:r w:rsidRPr="00AA34BE">
              <w:rPr>
                <w:rFonts w:cs="Arial"/>
                <w:b/>
                <w:bCs/>
                <w:color w:val="000000" w:themeColor="text1"/>
                <w:sz w:val="14"/>
                <w:szCs w:val="14"/>
              </w:rPr>
              <w:t>Отчет 2023 г.</w:t>
            </w:r>
          </w:p>
        </w:tc>
      </w:tr>
      <w:tr w:rsidR="00DD3445" w:rsidRPr="00AA34BE" w14:paraId="0842C886" w14:textId="77777777" w:rsidTr="001B430E">
        <w:trPr>
          <w:trHeight w:val="390"/>
        </w:trPr>
        <w:tc>
          <w:tcPr>
            <w:tcW w:w="1382" w:type="dxa"/>
            <w:tcBorders>
              <w:top w:val="nil"/>
              <w:left w:val="single" w:sz="4" w:space="0" w:color="auto"/>
              <w:bottom w:val="single" w:sz="4" w:space="0" w:color="auto"/>
              <w:right w:val="single" w:sz="4" w:space="0" w:color="auto"/>
            </w:tcBorders>
            <w:shd w:val="clear" w:color="auto" w:fill="auto"/>
            <w:vAlign w:val="center"/>
            <w:hideMark/>
          </w:tcPr>
          <w:p w14:paraId="2DF76C53" w14:textId="77777777" w:rsidR="00DD3445" w:rsidRPr="00AA34BE" w:rsidRDefault="00DD3445" w:rsidP="00DD3445">
            <w:pPr>
              <w:jc w:val="center"/>
              <w:rPr>
                <w:rFonts w:cs="Arial"/>
                <w:color w:val="000000" w:themeColor="text1"/>
                <w:sz w:val="14"/>
                <w:szCs w:val="14"/>
              </w:rPr>
            </w:pPr>
            <w:r w:rsidRPr="00AA34BE">
              <w:rPr>
                <w:rFonts w:cs="Arial"/>
                <w:color w:val="000000" w:themeColor="text1"/>
                <w:sz w:val="14"/>
                <w:szCs w:val="14"/>
              </w:rPr>
              <w:t>Производство на изход централи</w:t>
            </w:r>
          </w:p>
        </w:tc>
        <w:tc>
          <w:tcPr>
            <w:tcW w:w="552" w:type="dxa"/>
            <w:tcBorders>
              <w:top w:val="nil"/>
              <w:left w:val="nil"/>
              <w:bottom w:val="single" w:sz="4" w:space="0" w:color="auto"/>
              <w:right w:val="single" w:sz="4" w:space="0" w:color="auto"/>
            </w:tcBorders>
            <w:shd w:val="clear" w:color="auto" w:fill="auto"/>
            <w:noWrap/>
            <w:vAlign w:val="center"/>
            <w:hideMark/>
          </w:tcPr>
          <w:p w14:paraId="08036B05" w14:textId="77777777" w:rsidR="00DD3445" w:rsidRPr="00AA34BE" w:rsidRDefault="00DD3445" w:rsidP="00DD3445">
            <w:pPr>
              <w:jc w:val="center"/>
              <w:rPr>
                <w:rFonts w:cs="Arial"/>
                <w:color w:val="000000" w:themeColor="text1"/>
                <w:sz w:val="14"/>
                <w:szCs w:val="14"/>
              </w:rPr>
            </w:pPr>
            <w:r w:rsidRPr="00AA34BE">
              <w:rPr>
                <w:rFonts w:cs="Arial"/>
                <w:color w:val="000000" w:themeColor="text1"/>
                <w:sz w:val="14"/>
                <w:szCs w:val="14"/>
              </w:rPr>
              <w:t>MWh</w:t>
            </w:r>
          </w:p>
        </w:tc>
        <w:tc>
          <w:tcPr>
            <w:tcW w:w="627" w:type="dxa"/>
            <w:tcBorders>
              <w:top w:val="single" w:sz="4" w:space="0" w:color="auto"/>
              <w:left w:val="single" w:sz="4" w:space="0" w:color="auto"/>
              <w:bottom w:val="single" w:sz="4" w:space="0" w:color="auto"/>
              <w:right w:val="single" w:sz="4" w:space="0" w:color="auto"/>
            </w:tcBorders>
            <w:shd w:val="clear" w:color="auto" w:fill="auto"/>
            <w:noWrap/>
            <w:hideMark/>
          </w:tcPr>
          <w:p w14:paraId="062D6182" w14:textId="2B3E0BB0" w:rsidR="00DD3445" w:rsidRPr="00AA34BE" w:rsidRDefault="00DD3445" w:rsidP="00DD3445">
            <w:pPr>
              <w:jc w:val="center"/>
              <w:rPr>
                <w:rFonts w:cs="Arial"/>
                <w:color w:val="000000" w:themeColor="text1"/>
                <w:sz w:val="14"/>
                <w:szCs w:val="14"/>
              </w:rPr>
            </w:pPr>
            <w:r w:rsidRPr="004320BA">
              <w:rPr>
                <w:color w:val="000000" w:themeColor="text1"/>
                <w:sz w:val="14"/>
                <w:szCs w:val="14"/>
                <w:lang w:val="en-US"/>
              </w:rPr>
              <w:t>xx xxx</w:t>
            </w:r>
          </w:p>
        </w:tc>
        <w:tc>
          <w:tcPr>
            <w:tcW w:w="627" w:type="dxa"/>
            <w:tcBorders>
              <w:top w:val="single" w:sz="4" w:space="0" w:color="auto"/>
              <w:left w:val="nil"/>
              <w:bottom w:val="single" w:sz="4" w:space="0" w:color="auto"/>
              <w:right w:val="single" w:sz="4" w:space="0" w:color="auto"/>
            </w:tcBorders>
            <w:shd w:val="clear" w:color="auto" w:fill="auto"/>
            <w:noWrap/>
            <w:hideMark/>
          </w:tcPr>
          <w:p w14:paraId="16025EAB" w14:textId="3FCD51F3" w:rsidR="00DD3445" w:rsidRPr="00AA34BE" w:rsidRDefault="00DD3445" w:rsidP="00DD3445">
            <w:pPr>
              <w:jc w:val="center"/>
              <w:rPr>
                <w:rFonts w:cs="Arial"/>
                <w:color w:val="000000" w:themeColor="text1"/>
                <w:sz w:val="14"/>
                <w:szCs w:val="14"/>
              </w:rPr>
            </w:pPr>
            <w:r w:rsidRPr="004320B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73F68090" w14:textId="69808D04"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52AF083A" w14:textId="60733B23"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1FDB72E9" w14:textId="776069CD"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40D42651" w14:textId="334E6D1A"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25CECAD1" w14:textId="6AAE4711"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09478228" w14:textId="208E46AB"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1758DDEC" w14:textId="7E909C0C"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474672B6" w14:textId="29E28E3B"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74AB90FF" w14:textId="3D027322"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74E68184" w14:textId="1F6F066C" w:rsidR="00DD3445" w:rsidRPr="00AA34BE" w:rsidRDefault="00DD3445" w:rsidP="00DD3445">
            <w:pPr>
              <w:jc w:val="center"/>
              <w:rPr>
                <w:rFonts w:cs="Arial"/>
                <w:color w:val="000000" w:themeColor="text1"/>
                <w:sz w:val="14"/>
                <w:szCs w:val="14"/>
              </w:rPr>
            </w:pPr>
            <w:r w:rsidRPr="00AE746B">
              <w:rPr>
                <w:color w:val="000000" w:themeColor="text1"/>
                <w:sz w:val="14"/>
                <w:szCs w:val="14"/>
                <w:lang w:val="en-US"/>
              </w:rPr>
              <w:t>xx xxx</w:t>
            </w:r>
          </w:p>
        </w:tc>
        <w:tc>
          <w:tcPr>
            <w:tcW w:w="820" w:type="dxa"/>
            <w:tcBorders>
              <w:top w:val="single" w:sz="4" w:space="0" w:color="auto"/>
              <w:left w:val="nil"/>
              <w:bottom w:val="single" w:sz="4" w:space="0" w:color="auto"/>
              <w:right w:val="single" w:sz="4" w:space="0" w:color="auto"/>
            </w:tcBorders>
            <w:shd w:val="clear" w:color="auto" w:fill="auto"/>
            <w:noWrap/>
            <w:hideMark/>
          </w:tcPr>
          <w:p w14:paraId="4A03A0F6" w14:textId="5DD76745" w:rsidR="00DD3445" w:rsidRPr="00AA34BE" w:rsidRDefault="00DD3445" w:rsidP="00DD3445">
            <w:pPr>
              <w:jc w:val="center"/>
              <w:rPr>
                <w:rFonts w:cs="Arial"/>
                <w:color w:val="000000" w:themeColor="text1"/>
                <w:sz w:val="14"/>
                <w:szCs w:val="14"/>
              </w:rPr>
            </w:pPr>
            <w:r w:rsidRPr="00AE746B">
              <w:rPr>
                <w:color w:val="000000" w:themeColor="text1"/>
                <w:sz w:val="14"/>
                <w:szCs w:val="14"/>
                <w:lang w:val="en-US"/>
              </w:rPr>
              <w:t>x</w:t>
            </w:r>
            <w:r>
              <w:rPr>
                <w:color w:val="000000" w:themeColor="text1"/>
                <w:sz w:val="14"/>
                <w:szCs w:val="14"/>
                <w:lang w:val="en-US"/>
              </w:rPr>
              <w:t>x</w:t>
            </w:r>
            <w:r w:rsidRPr="00AE746B">
              <w:rPr>
                <w:color w:val="000000" w:themeColor="text1"/>
                <w:sz w:val="14"/>
                <w:szCs w:val="14"/>
                <w:lang w:val="en-US"/>
              </w:rPr>
              <w:t xml:space="preserve">x </w:t>
            </w:r>
            <w:proofErr w:type="spellStart"/>
            <w:r w:rsidRPr="00AE746B">
              <w:rPr>
                <w:color w:val="000000" w:themeColor="text1"/>
                <w:sz w:val="14"/>
                <w:szCs w:val="14"/>
                <w:lang w:val="en-US"/>
              </w:rPr>
              <w:t>xxx</w:t>
            </w:r>
            <w:proofErr w:type="spellEnd"/>
          </w:p>
        </w:tc>
      </w:tr>
      <w:tr w:rsidR="00DD3445" w:rsidRPr="00AA34BE" w14:paraId="1AB7FAFC" w14:textId="77777777" w:rsidTr="002F2FEF">
        <w:trPr>
          <w:trHeight w:val="195"/>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05137747" w14:textId="77777777" w:rsidR="00DD3445" w:rsidRPr="00AA34BE" w:rsidRDefault="00DD3445" w:rsidP="00DD3445">
            <w:pPr>
              <w:jc w:val="center"/>
              <w:rPr>
                <w:rFonts w:cs="Arial"/>
                <w:color w:val="000000" w:themeColor="text1"/>
                <w:sz w:val="14"/>
                <w:szCs w:val="14"/>
              </w:rPr>
            </w:pPr>
            <w:r w:rsidRPr="00AA34BE">
              <w:rPr>
                <w:rFonts w:cs="Arial"/>
                <w:color w:val="000000" w:themeColor="text1"/>
                <w:sz w:val="14"/>
                <w:szCs w:val="14"/>
              </w:rPr>
              <w:t>Реализация</w:t>
            </w:r>
          </w:p>
        </w:tc>
        <w:tc>
          <w:tcPr>
            <w:tcW w:w="552" w:type="dxa"/>
            <w:tcBorders>
              <w:top w:val="nil"/>
              <w:left w:val="nil"/>
              <w:bottom w:val="single" w:sz="4" w:space="0" w:color="auto"/>
              <w:right w:val="single" w:sz="4" w:space="0" w:color="auto"/>
            </w:tcBorders>
            <w:shd w:val="clear" w:color="auto" w:fill="auto"/>
            <w:noWrap/>
            <w:vAlign w:val="center"/>
            <w:hideMark/>
          </w:tcPr>
          <w:p w14:paraId="56D393EB" w14:textId="77777777" w:rsidR="00DD3445" w:rsidRPr="00AA34BE" w:rsidRDefault="00DD3445" w:rsidP="00DD3445">
            <w:pPr>
              <w:jc w:val="center"/>
              <w:rPr>
                <w:rFonts w:cs="Arial"/>
                <w:color w:val="000000" w:themeColor="text1"/>
                <w:sz w:val="14"/>
                <w:szCs w:val="14"/>
              </w:rPr>
            </w:pPr>
            <w:r w:rsidRPr="00AA34BE">
              <w:rPr>
                <w:rFonts w:cs="Arial"/>
                <w:color w:val="000000" w:themeColor="text1"/>
                <w:sz w:val="14"/>
                <w:szCs w:val="14"/>
              </w:rPr>
              <w:t>MWh</w:t>
            </w:r>
          </w:p>
        </w:tc>
        <w:tc>
          <w:tcPr>
            <w:tcW w:w="627" w:type="dxa"/>
            <w:tcBorders>
              <w:top w:val="nil"/>
              <w:left w:val="single" w:sz="4" w:space="0" w:color="auto"/>
              <w:bottom w:val="single" w:sz="4" w:space="0" w:color="auto"/>
              <w:right w:val="single" w:sz="4" w:space="0" w:color="auto"/>
            </w:tcBorders>
            <w:shd w:val="clear" w:color="auto" w:fill="auto"/>
            <w:noWrap/>
            <w:vAlign w:val="center"/>
            <w:hideMark/>
          </w:tcPr>
          <w:p w14:paraId="0DDE6FE5" w14:textId="3128373C" w:rsidR="00DD3445" w:rsidRPr="00AA34BE" w:rsidRDefault="00DD3445" w:rsidP="00DD3445">
            <w:pPr>
              <w:jc w:val="center"/>
              <w:rPr>
                <w:rFonts w:cs="Arial"/>
                <w:color w:val="000000" w:themeColor="text1"/>
                <w:sz w:val="14"/>
                <w:szCs w:val="14"/>
              </w:rPr>
            </w:pPr>
            <w:r>
              <w:rPr>
                <w:color w:val="000000" w:themeColor="text1"/>
                <w:sz w:val="14"/>
                <w:szCs w:val="14"/>
                <w:lang w:val="en-US"/>
              </w:rPr>
              <w:t>x xxx</w:t>
            </w:r>
          </w:p>
        </w:tc>
        <w:tc>
          <w:tcPr>
            <w:tcW w:w="627" w:type="dxa"/>
            <w:tcBorders>
              <w:top w:val="nil"/>
              <w:left w:val="nil"/>
              <w:bottom w:val="single" w:sz="4" w:space="0" w:color="auto"/>
              <w:right w:val="single" w:sz="4" w:space="0" w:color="auto"/>
            </w:tcBorders>
            <w:shd w:val="clear" w:color="auto" w:fill="auto"/>
            <w:noWrap/>
            <w:vAlign w:val="center"/>
            <w:hideMark/>
          </w:tcPr>
          <w:p w14:paraId="29776FA5" w14:textId="0171B14C" w:rsidR="00DD3445" w:rsidRPr="00AA34BE" w:rsidRDefault="00DD3445" w:rsidP="00DD3445">
            <w:pPr>
              <w:jc w:val="center"/>
              <w:rPr>
                <w:rFonts w:cs="Arial"/>
                <w:color w:val="000000" w:themeColor="text1"/>
                <w:sz w:val="14"/>
                <w:szCs w:val="14"/>
              </w:rPr>
            </w:pPr>
            <w:r>
              <w:rPr>
                <w:color w:val="000000" w:themeColor="text1"/>
                <w:sz w:val="14"/>
                <w:szCs w:val="14"/>
                <w:lang w:val="en-US"/>
              </w:rPr>
              <w:t>x xxx</w:t>
            </w:r>
          </w:p>
        </w:tc>
        <w:tc>
          <w:tcPr>
            <w:tcW w:w="626" w:type="dxa"/>
            <w:tcBorders>
              <w:top w:val="nil"/>
              <w:left w:val="nil"/>
              <w:bottom w:val="single" w:sz="4" w:space="0" w:color="auto"/>
              <w:right w:val="single" w:sz="4" w:space="0" w:color="auto"/>
            </w:tcBorders>
            <w:shd w:val="clear" w:color="auto" w:fill="auto"/>
            <w:noWrap/>
            <w:hideMark/>
          </w:tcPr>
          <w:p w14:paraId="6602E368" w14:textId="2703337A" w:rsidR="00DD3445" w:rsidRPr="00AA34BE" w:rsidRDefault="00DD3445" w:rsidP="00DD3445">
            <w:pPr>
              <w:jc w:val="center"/>
              <w:rPr>
                <w:rFonts w:cs="Arial"/>
                <w:color w:val="000000" w:themeColor="text1"/>
                <w:sz w:val="14"/>
                <w:szCs w:val="14"/>
              </w:rPr>
            </w:pPr>
            <w:r w:rsidRPr="00F048C5">
              <w:rPr>
                <w:color w:val="000000" w:themeColor="text1"/>
                <w:sz w:val="14"/>
                <w:szCs w:val="14"/>
                <w:lang w:val="en-US"/>
              </w:rPr>
              <w:t>x xxx</w:t>
            </w:r>
          </w:p>
        </w:tc>
        <w:tc>
          <w:tcPr>
            <w:tcW w:w="626" w:type="dxa"/>
            <w:tcBorders>
              <w:top w:val="nil"/>
              <w:left w:val="nil"/>
              <w:bottom w:val="single" w:sz="4" w:space="0" w:color="auto"/>
              <w:right w:val="single" w:sz="4" w:space="0" w:color="auto"/>
            </w:tcBorders>
            <w:shd w:val="clear" w:color="auto" w:fill="auto"/>
            <w:noWrap/>
            <w:hideMark/>
          </w:tcPr>
          <w:p w14:paraId="17DAFE27" w14:textId="1E662257" w:rsidR="00DD3445" w:rsidRPr="00AA34BE" w:rsidRDefault="00DD3445" w:rsidP="00DD3445">
            <w:pPr>
              <w:jc w:val="center"/>
              <w:rPr>
                <w:rFonts w:cs="Arial"/>
                <w:color w:val="000000" w:themeColor="text1"/>
                <w:sz w:val="14"/>
                <w:szCs w:val="14"/>
              </w:rPr>
            </w:pPr>
            <w:r w:rsidRPr="00F048C5">
              <w:rPr>
                <w:color w:val="000000" w:themeColor="text1"/>
                <w:sz w:val="14"/>
                <w:szCs w:val="14"/>
                <w:lang w:val="en-US"/>
              </w:rPr>
              <w:t>x xxx</w:t>
            </w:r>
          </w:p>
        </w:tc>
        <w:tc>
          <w:tcPr>
            <w:tcW w:w="626" w:type="dxa"/>
            <w:tcBorders>
              <w:top w:val="nil"/>
              <w:left w:val="nil"/>
              <w:bottom w:val="single" w:sz="4" w:space="0" w:color="auto"/>
              <w:right w:val="single" w:sz="4" w:space="0" w:color="auto"/>
            </w:tcBorders>
            <w:shd w:val="clear" w:color="auto" w:fill="auto"/>
            <w:noWrap/>
            <w:vAlign w:val="center"/>
            <w:hideMark/>
          </w:tcPr>
          <w:p w14:paraId="4754CAD3" w14:textId="69B6A74E"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nil"/>
              <w:left w:val="nil"/>
              <w:bottom w:val="single" w:sz="4" w:space="0" w:color="auto"/>
              <w:right w:val="single" w:sz="4" w:space="0" w:color="auto"/>
            </w:tcBorders>
            <w:shd w:val="clear" w:color="auto" w:fill="auto"/>
            <w:noWrap/>
            <w:vAlign w:val="center"/>
            <w:hideMark/>
          </w:tcPr>
          <w:p w14:paraId="1AF5E462" w14:textId="0F1BB840" w:rsidR="00DD3445" w:rsidRPr="00AA34BE" w:rsidRDefault="00DD3445" w:rsidP="00DD3445">
            <w:pPr>
              <w:jc w:val="center"/>
              <w:rPr>
                <w:rFonts w:cs="Arial"/>
                <w:color w:val="000000" w:themeColor="text1"/>
                <w:sz w:val="14"/>
                <w:szCs w:val="14"/>
              </w:rPr>
            </w:pPr>
            <w:r w:rsidRPr="00FD5BAA">
              <w:rPr>
                <w:color w:val="000000" w:themeColor="text1"/>
                <w:sz w:val="14"/>
                <w:szCs w:val="14"/>
                <w:lang w:val="en-US"/>
              </w:rPr>
              <w:t>xx xxx</w:t>
            </w:r>
          </w:p>
        </w:tc>
        <w:tc>
          <w:tcPr>
            <w:tcW w:w="626" w:type="dxa"/>
            <w:tcBorders>
              <w:top w:val="nil"/>
              <w:left w:val="nil"/>
              <w:bottom w:val="single" w:sz="4" w:space="0" w:color="auto"/>
              <w:right w:val="single" w:sz="4" w:space="0" w:color="auto"/>
            </w:tcBorders>
            <w:shd w:val="clear" w:color="auto" w:fill="auto"/>
            <w:noWrap/>
            <w:hideMark/>
          </w:tcPr>
          <w:p w14:paraId="6647545F" w14:textId="5BDEF67E" w:rsidR="00DD3445" w:rsidRPr="00AA34BE" w:rsidRDefault="00DD3445" w:rsidP="00DD3445">
            <w:pPr>
              <w:jc w:val="center"/>
              <w:rPr>
                <w:rFonts w:cs="Arial"/>
                <w:color w:val="000000" w:themeColor="text1"/>
                <w:sz w:val="14"/>
                <w:szCs w:val="14"/>
              </w:rPr>
            </w:pPr>
            <w:r w:rsidRPr="008213ED">
              <w:rPr>
                <w:color w:val="000000" w:themeColor="text1"/>
                <w:sz w:val="14"/>
                <w:szCs w:val="14"/>
                <w:lang w:val="en-US"/>
              </w:rPr>
              <w:t>xx xxx</w:t>
            </w:r>
          </w:p>
        </w:tc>
        <w:tc>
          <w:tcPr>
            <w:tcW w:w="626" w:type="dxa"/>
            <w:tcBorders>
              <w:top w:val="nil"/>
              <w:left w:val="nil"/>
              <w:bottom w:val="single" w:sz="4" w:space="0" w:color="auto"/>
              <w:right w:val="single" w:sz="4" w:space="0" w:color="auto"/>
            </w:tcBorders>
            <w:shd w:val="clear" w:color="auto" w:fill="auto"/>
            <w:noWrap/>
            <w:hideMark/>
          </w:tcPr>
          <w:p w14:paraId="597CB95F" w14:textId="7505F797" w:rsidR="00DD3445" w:rsidRPr="00AA34BE" w:rsidRDefault="00DD3445" w:rsidP="00DD3445">
            <w:pPr>
              <w:jc w:val="center"/>
              <w:rPr>
                <w:rFonts w:cs="Arial"/>
                <w:color w:val="000000" w:themeColor="text1"/>
                <w:sz w:val="14"/>
                <w:szCs w:val="14"/>
              </w:rPr>
            </w:pPr>
            <w:r w:rsidRPr="008213ED">
              <w:rPr>
                <w:color w:val="000000" w:themeColor="text1"/>
                <w:sz w:val="14"/>
                <w:szCs w:val="14"/>
                <w:lang w:val="en-US"/>
              </w:rPr>
              <w:t>xx xxx</w:t>
            </w:r>
          </w:p>
        </w:tc>
        <w:tc>
          <w:tcPr>
            <w:tcW w:w="626" w:type="dxa"/>
            <w:tcBorders>
              <w:top w:val="nil"/>
              <w:left w:val="nil"/>
              <w:bottom w:val="single" w:sz="4" w:space="0" w:color="auto"/>
              <w:right w:val="single" w:sz="4" w:space="0" w:color="auto"/>
            </w:tcBorders>
            <w:shd w:val="clear" w:color="auto" w:fill="auto"/>
            <w:noWrap/>
            <w:hideMark/>
          </w:tcPr>
          <w:p w14:paraId="20E04AD4" w14:textId="50BFF657" w:rsidR="00DD3445" w:rsidRPr="00AA34BE" w:rsidRDefault="00DD3445" w:rsidP="00DD3445">
            <w:pPr>
              <w:jc w:val="center"/>
              <w:rPr>
                <w:rFonts w:cs="Arial"/>
                <w:color w:val="000000" w:themeColor="text1"/>
                <w:sz w:val="14"/>
                <w:szCs w:val="14"/>
              </w:rPr>
            </w:pPr>
            <w:r w:rsidRPr="00115E08">
              <w:rPr>
                <w:color w:val="000000" w:themeColor="text1"/>
                <w:sz w:val="14"/>
                <w:szCs w:val="14"/>
                <w:lang w:val="en-US"/>
              </w:rPr>
              <w:t>xx xxx</w:t>
            </w:r>
          </w:p>
        </w:tc>
        <w:tc>
          <w:tcPr>
            <w:tcW w:w="626" w:type="dxa"/>
            <w:tcBorders>
              <w:top w:val="nil"/>
              <w:left w:val="nil"/>
              <w:bottom w:val="single" w:sz="4" w:space="0" w:color="auto"/>
              <w:right w:val="single" w:sz="4" w:space="0" w:color="auto"/>
            </w:tcBorders>
            <w:shd w:val="clear" w:color="auto" w:fill="auto"/>
            <w:noWrap/>
            <w:hideMark/>
          </w:tcPr>
          <w:p w14:paraId="57A36E45" w14:textId="742EB3D1" w:rsidR="00DD3445" w:rsidRPr="00AA34BE" w:rsidRDefault="00DD3445" w:rsidP="00DD3445">
            <w:pPr>
              <w:jc w:val="center"/>
              <w:rPr>
                <w:rFonts w:cs="Arial"/>
                <w:color w:val="000000" w:themeColor="text1"/>
                <w:sz w:val="14"/>
                <w:szCs w:val="14"/>
              </w:rPr>
            </w:pPr>
            <w:r w:rsidRPr="00115E08">
              <w:rPr>
                <w:color w:val="000000" w:themeColor="text1"/>
                <w:sz w:val="14"/>
                <w:szCs w:val="14"/>
                <w:lang w:val="en-US"/>
              </w:rPr>
              <w:t>xx xxx</w:t>
            </w:r>
          </w:p>
        </w:tc>
        <w:tc>
          <w:tcPr>
            <w:tcW w:w="626" w:type="dxa"/>
            <w:tcBorders>
              <w:top w:val="nil"/>
              <w:left w:val="nil"/>
              <w:bottom w:val="single" w:sz="4" w:space="0" w:color="auto"/>
              <w:right w:val="single" w:sz="4" w:space="0" w:color="auto"/>
            </w:tcBorders>
            <w:shd w:val="clear" w:color="auto" w:fill="auto"/>
            <w:noWrap/>
            <w:hideMark/>
          </w:tcPr>
          <w:p w14:paraId="33CA434E" w14:textId="4A4C4539" w:rsidR="00DD3445" w:rsidRPr="00AA34BE" w:rsidRDefault="00DD3445" w:rsidP="00DD3445">
            <w:pPr>
              <w:jc w:val="center"/>
              <w:rPr>
                <w:rFonts w:cs="Arial"/>
                <w:color w:val="000000" w:themeColor="text1"/>
                <w:sz w:val="14"/>
                <w:szCs w:val="14"/>
              </w:rPr>
            </w:pPr>
            <w:r w:rsidRPr="00AF4F51">
              <w:rPr>
                <w:color w:val="000000" w:themeColor="text1"/>
                <w:sz w:val="14"/>
                <w:szCs w:val="14"/>
                <w:lang w:val="en-US"/>
              </w:rPr>
              <w:t>x xxx</w:t>
            </w:r>
          </w:p>
        </w:tc>
        <w:tc>
          <w:tcPr>
            <w:tcW w:w="626" w:type="dxa"/>
            <w:tcBorders>
              <w:top w:val="nil"/>
              <w:left w:val="nil"/>
              <w:bottom w:val="single" w:sz="4" w:space="0" w:color="auto"/>
              <w:right w:val="single" w:sz="4" w:space="0" w:color="auto"/>
            </w:tcBorders>
            <w:shd w:val="clear" w:color="auto" w:fill="auto"/>
            <w:noWrap/>
            <w:hideMark/>
          </w:tcPr>
          <w:p w14:paraId="7184D2F0" w14:textId="3F476562" w:rsidR="00DD3445" w:rsidRPr="00AA34BE" w:rsidRDefault="00DD3445" w:rsidP="00DD3445">
            <w:pPr>
              <w:jc w:val="center"/>
              <w:rPr>
                <w:rFonts w:cs="Arial"/>
                <w:color w:val="000000" w:themeColor="text1"/>
                <w:sz w:val="14"/>
                <w:szCs w:val="14"/>
              </w:rPr>
            </w:pPr>
            <w:r w:rsidRPr="00AF4F51">
              <w:rPr>
                <w:color w:val="000000" w:themeColor="text1"/>
                <w:sz w:val="14"/>
                <w:szCs w:val="14"/>
                <w:lang w:val="en-US"/>
              </w:rPr>
              <w:t>x xxx</w:t>
            </w:r>
          </w:p>
        </w:tc>
        <w:tc>
          <w:tcPr>
            <w:tcW w:w="820" w:type="dxa"/>
            <w:tcBorders>
              <w:top w:val="nil"/>
              <w:left w:val="nil"/>
              <w:bottom w:val="single" w:sz="4" w:space="0" w:color="auto"/>
              <w:right w:val="single" w:sz="4" w:space="0" w:color="auto"/>
            </w:tcBorders>
            <w:shd w:val="clear" w:color="auto" w:fill="auto"/>
            <w:noWrap/>
            <w:vAlign w:val="center"/>
            <w:hideMark/>
          </w:tcPr>
          <w:p w14:paraId="0F9D2598" w14:textId="4B5B83FB" w:rsidR="00DD3445" w:rsidRPr="00AA34BE" w:rsidRDefault="00DD3445" w:rsidP="00DD3445">
            <w:pPr>
              <w:jc w:val="center"/>
              <w:rPr>
                <w:rFonts w:cs="Arial"/>
                <w:color w:val="000000" w:themeColor="text1"/>
                <w:sz w:val="14"/>
                <w:szCs w:val="14"/>
              </w:rPr>
            </w:pPr>
            <w:r w:rsidRPr="00AE746B">
              <w:rPr>
                <w:color w:val="000000" w:themeColor="text1"/>
                <w:sz w:val="14"/>
                <w:szCs w:val="14"/>
                <w:lang w:val="en-US"/>
              </w:rPr>
              <w:t>x</w:t>
            </w:r>
            <w:r>
              <w:rPr>
                <w:color w:val="000000" w:themeColor="text1"/>
                <w:sz w:val="14"/>
                <w:szCs w:val="14"/>
                <w:lang w:val="en-US"/>
              </w:rPr>
              <w:t>x</w:t>
            </w:r>
            <w:r w:rsidRPr="00AE746B">
              <w:rPr>
                <w:color w:val="000000" w:themeColor="text1"/>
                <w:sz w:val="14"/>
                <w:szCs w:val="14"/>
                <w:lang w:val="en-US"/>
              </w:rPr>
              <w:t xml:space="preserve">x </w:t>
            </w:r>
            <w:proofErr w:type="spellStart"/>
            <w:r w:rsidRPr="00AE746B">
              <w:rPr>
                <w:color w:val="000000" w:themeColor="text1"/>
                <w:sz w:val="14"/>
                <w:szCs w:val="14"/>
                <w:lang w:val="en-US"/>
              </w:rPr>
              <w:t>xxx</w:t>
            </w:r>
            <w:proofErr w:type="spellEnd"/>
          </w:p>
        </w:tc>
      </w:tr>
      <w:tr w:rsidR="00AA34BE" w:rsidRPr="00AA34BE" w14:paraId="4D296754" w14:textId="77777777" w:rsidTr="006240A3">
        <w:trPr>
          <w:trHeight w:val="195"/>
        </w:trPr>
        <w:tc>
          <w:tcPr>
            <w:tcW w:w="10268"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442F5" w14:textId="77777777" w:rsidR="00D923BB" w:rsidRPr="00AA34BE" w:rsidRDefault="00D923BB" w:rsidP="006240A3">
            <w:pPr>
              <w:jc w:val="center"/>
              <w:rPr>
                <w:rFonts w:cs="Arial"/>
                <w:b/>
                <w:bCs/>
                <w:color w:val="000000" w:themeColor="text1"/>
                <w:sz w:val="14"/>
                <w:szCs w:val="14"/>
              </w:rPr>
            </w:pPr>
            <w:r w:rsidRPr="00AA34BE">
              <w:rPr>
                <w:rFonts w:cs="Arial"/>
                <w:b/>
                <w:bCs/>
                <w:color w:val="000000" w:themeColor="text1"/>
                <w:sz w:val="14"/>
                <w:szCs w:val="14"/>
              </w:rPr>
              <w:t>Средно месечни температури на външния въздух, съгласно информация от НИМХ - филиал Пловдив</w:t>
            </w:r>
          </w:p>
        </w:tc>
      </w:tr>
      <w:tr w:rsidR="00AA34BE" w:rsidRPr="00AA34BE" w14:paraId="553B4C8B" w14:textId="77777777" w:rsidTr="006240A3">
        <w:trPr>
          <w:trHeight w:val="210"/>
        </w:trPr>
        <w:tc>
          <w:tcPr>
            <w:tcW w:w="1382" w:type="dxa"/>
            <w:tcBorders>
              <w:top w:val="single" w:sz="4" w:space="0" w:color="auto"/>
              <w:left w:val="single" w:sz="4" w:space="0" w:color="auto"/>
              <w:bottom w:val="single" w:sz="4" w:space="0" w:color="auto"/>
              <w:right w:val="single" w:sz="4" w:space="0" w:color="auto"/>
            </w:tcBorders>
            <w:shd w:val="clear" w:color="auto" w:fill="auto"/>
            <w:noWrap/>
            <w:hideMark/>
          </w:tcPr>
          <w:p w14:paraId="486DCF71" w14:textId="77777777" w:rsidR="00D923BB" w:rsidRPr="00AA34BE" w:rsidRDefault="00D923BB" w:rsidP="006240A3">
            <w:pPr>
              <w:jc w:val="right"/>
              <w:rPr>
                <w:rFonts w:cs="Arial"/>
                <w:color w:val="000000" w:themeColor="text1"/>
                <w:sz w:val="16"/>
                <w:szCs w:val="16"/>
              </w:rPr>
            </w:pPr>
            <w:r w:rsidRPr="00AA34BE">
              <w:rPr>
                <w:color w:val="000000" w:themeColor="text1"/>
                <w:sz w:val="16"/>
                <w:szCs w:val="16"/>
              </w:rPr>
              <w:t>2024</w:t>
            </w:r>
          </w:p>
        </w:tc>
        <w:tc>
          <w:tcPr>
            <w:tcW w:w="552" w:type="dxa"/>
            <w:tcBorders>
              <w:top w:val="single" w:sz="4" w:space="0" w:color="auto"/>
              <w:left w:val="nil"/>
              <w:bottom w:val="single" w:sz="4" w:space="0" w:color="auto"/>
              <w:right w:val="single" w:sz="4" w:space="0" w:color="auto"/>
            </w:tcBorders>
            <w:shd w:val="clear" w:color="auto" w:fill="auto"/>
            <w:noWrap/>
            <w:hideMark/>
          </w:tcPr>
          <w:p w14:paraId="37BBF84B" w14:textId="77777777" w:rsidR="00D923BB" w:rsidRPr="00AA34BE" w:rsidRDefault="00D923BB" w:rsidP="006240A3">
            <w:pPr>
              <w:jc w:val="center"/>
              <w:rPr>
                <w:rFonts w:cs="Arial"/>
                <w:color w:val="000000" w:themeColor="text1"/>
                <w:sz w:val="16"/>
                <w:szCs w:val="16"/>
              </w:rPr>
            </w:pPr>
            <w:proofErr w:type="spellStart"/>
            <w:r w:rsidRPr="00AA34BE">
              <w:rPr>
                <w:color w:val="000000" w:themeColor="text1"/>
                <w:sz w:val="16"/>
                <w:szCs w:val="16"/>
                <w:vertAlign w:val="superscript"/>
              </w:rPr>
              <w:t>o</w:t>
            </w:r>
            <w:r w:rsidRPr="00AA34BE">
              <w:rPr>
                <w:color w:val="000000" w:themeColor="text1"/>
                <w:sz w:val="16"/>
                <w:szCs w:val="16"/>
              </w:rPr>
              <w:t>C</w:t>
            </w:r>
            <w:proofErr w:type="spellEnd"/>
          </w:p>
        </w:tc>
        <w:tc>
          <w:tcPr>
            <w:tcW w:w="627" w:type="dxa"/>
            <w:tcBorders>
              <w:top w:val="single" w:sz="4" w:space="0" w:color="auto"/>
              <w:left w:val="nil"/>
              <w:bottom w:val="single" w:sz="4" w:space="0" w:color="auto"/>
              <w:right w:val="single" w:sz="4" w:space="0" w:color="auto"/>
            </w:tcBorders>
            <w:shd w:val="clear" w:color="auto" w:fill="auto"/>
            <w:noWrap/>
            <w:hideMark/>
          </w:tcPr>
          <w:p w14:paraId="413131B5" w14:textId="77777777" w:rsidR="00D923BB" w:rsidRPr="00AA34BE" w:rsidRDefault="00D923BB" w:rsidP="006240A3">
            <w:pPr>
              <w:jc w:val="center"/>
              <w:rPr>
                <w:rFonts w:cs="Arial"/>
                <w:color w:val="000000" w:themeColor="text1"/>
                <w:sz w:val="16"/>
                <w:szCs w:val="16"/>
              </w:rPr>
            </w:pPr>
          </w:p>
        </w:tc>
        <w:tc>
          <w:tcPr>
            <w:tcW w:w="627" w:type="dxa"/>
            <w:tcBorders>
              <w:top w:val="single" w:sz="4" w:space="0" w:color="auto"/>
              <w:left w:val="nil"/>
              <w:bottom w:val="single" w:sz="4" w:space="0" w:color="auto"/>
              <w:right w:val="single" w:sz="4" w:space="0" w:color="auto"/>
            </w:tcBorders>
            <w:shd w:val="clear" w:color="auto" w:fill="auto"/>
            <w:noWrap/>
            <w:hideMark/>
          </w:tcPr>
          <w:p w14:paraId="174CCC24" w14:textId="77777777" w:rsidR="00D923BB" w:rsidRPr="00AA34BE" w:rsidRDefault="00D923BB" w:rsidP="006240A3">
            <w:pPr>
              <w:jc w:val="center"/>
              <w:rPr>
                <w:rFonts w:cs="Arial"/>
                <w:color w:val="000000" w:themeColor="text1"/>
                <w:sz w:val="16"/>
                <w:szCs w:val="16"/>
              </w:rPr>
            </w:pPr>
          </w:p>
        </w:tc>
        <w:tc>
          <w:tcPr>
            <w:tcW w:w="626" w:type="dxa"/>
            <w:tcBorders>
              <w:top w:val="single" w:sz="4" w:space="0" w:color="auto"/>
              <w:left w:val="nil"/>
              <w:bottom w:val="single" w:sz="4" w:space="0" w:color="auto"/>
              <w:right w:val="single" w:sz="4" w:space="0" w:color="auto"/>
            </w:tcBorders>
            <w:shd w:val="clear" w:color="auto" w:fill="auto"/>
            <w:noWrap/>
            <w:hideMark/>
          </w:tcPr>
          <w:p w14:paraId="78403D51" w14:textId="77777777" w:rsidR="00D923BB" w:rsidRPr="00AA34BE" w:rsidRDefault="00D923BB" w:rsidP="006240A3">
            <w:pPr>
              <w:jc w:val="center"/>
              <w:rPr>
                <w:rFonts w:cs="Arial"/>
                <w:color w:val="000000" w:themeColor="text1"/>
                <w:sz w:val="16"/>
                <w:szCs w:val="16"/>
              </w:rPr>
            </w:pPr>
          </w:p>
        </w:tc>
        <w:tc>
          <w:tcPr>
            <w:tcW w:w="626" w:type="dxa"/>
            <w:tcBorders>
              <w:top w:val="single" w:sz="4" w:space="0" w:color="auto"/>
              <w:left w:val="nil"/>
              <w:bottom w:val="single" w:sz="4" w:space="0" w:color="auto"/>
              <w:right w:val="single" w:sz="4" w:space="0" w:color="auto"/>
            </w:tcBorders>
            <w:shd w:val="clear" w:color="auto" w:fill="auto"/>
            <w:noWrap/>
            <w:hideMark/>
          </w:tcPr>
          <w:p w14:paraId="537D4E20" w14:textId="77777777" w:rsidR="00D923BB" w:rsidRPr="00AA34BE" w:rsidRDefault="00D923BB" w:rsidP="006240A3">
            <w:pPr>
              <w:jc w:val="center"/>
              <w:rPr>
                <w:rFonts w:cs="Arial"/>
                <w:color w:val="000000" w:themeColor="text1"/>
                <w:sz w:val="16"/>
                <w:szCs w:val="16"/>
              </w:rPr>
            </w:pPr>
          </w:p>
        </w:tc>
        <w:tc>
          <w:tcPr>
            <w:tcW w:w="626" w:type="dxa"/>
            <w:tcBorders>
              <w:top w:val="single" w:sz="4" w:space="0" w:color="auto"/>
              <w:left w:val="nil"/>
              <w:bottom w:val="single" w:sz="4" w:space="0" w:color="auto"/>
              <w:right w:val="single" w:sz="4" w:space="0" w:color="auto"/>
            </w:tcBorders>
            <w:shd w:val="clear" w:color="auto" w:fill="auto"/>
            <w:noWrap/>
            <w:hideMark/>
          </w:tcPr>
          <w:p w14:paraId="092B0BA7" w14:textId="77777777" w:rsidR="00D923BB" w:rsidRPr="00AA34BE" w:rsidRDefault="00D923BB" w:rsidP="006240A3">
            <w:pPr>
              <w:jc w:val="center"/>
              <w:rPr>
                <w:rFonts w:cs="Arial"/>
                <w:color w:val="000000" w:themeColor="text1"/>
                <w:sz w:val="16"/>
                <w:szCs w:val="16"/>
              </w:rPr>
            </w:pPr>
          </w:p>
        </w:tc>
        <w:tc>
          <w:tcPr>
            <w:tcW w:w="626" w:type="dxa"/>
            <w:tcBorders>
              <w:top w:val="single" w:sz="4" w:space="0" w:color="auto"/>
              <w:left w:val="nil"/>
              <w:bottom w:val="single" w:sz="4" w:space="0" w:color="auto"/>
              <w:right w:val="single" w:sz="4" w:space="0" w:color="auto"/>
            </w:tcBorders>
            <w:shd w:val="clear" w:color="auto" w:fill="auto"/>
            <w:noWrap/>
            <w:hideMark/>
          </w:tcPr>
          <w:p w14:paraId="536AB9F8" w14:textId="77777777" w:rsidR="00D923BB" w:rsidRPr="00AA34BE" w:rsidRDefault="00D923BB" w:rsidP="006240A3">
            <w:pPr>
              <w:jc w:val="center"/>
              <w:rPr>
                <w:rFonts w:cs="Arial"/>
                <w:color w:val="000000" w:themeColor="text1"/>
                <w:sz w:val="16"/>
                <w:szCs w:val="16"/>
              </w:rPr>
            </w:pPr>
          </w:p>
        </w:tc>
        <w:tc>
          <w:tcPr>
            <w:tcW w:w="626" w:type="dxa"/>
            <w:tcBorders>
              <w:top w:val="single" w:sz="4" w:space="0" w:color="auto"/>
              <w:left w:val="nil"/>
              <w:bottom w:val="single" w:sz="4" w:space="0" w:color="auto"/>
              <w:right w:val="single" w:sz="4" w:space="0" w:color="auto"/>
            </w:tcBorders>
            <w:shd w:val="clear" w:color="auto" w:fill="auto"/>
            <w:noWrap/>
            <w:hideMark/>
          </w:tcPr>
          <w:p w14:paraId="406D30B1" w14:textId="27210748" w:rsidR="00D923BB" w:rsidRPr="00DD3445" w:rsidRDefault="00DD3445" w:rsidP="006240A3">
            <w:pPr>
              <w:jc w:val="center"/>
              <w:rPr>
                <w:rFonts w:cs="Arial"/>
                <w:color w:val="000000" w:themeColor="text1"/>
                <w:sz w:val="16"/>
                <w:szCs w:val="16"/>
                <w:lang w:val="en-US"/>
              </w:rPr>
            </w:pPr>
            <w:proofErr w:type="spellStart"/>
            <w:r>
              <w:rPr>
                <w:color w:val="000000" w:themeColor="text1"/>
                <w:sz w:val="16"/>
                <w:szCs w:val="16"/>
                <w:lang w:val="en-US"/>
              </w:rPr>
              <w:t>x.x</w:t>
            </w:r>
            <w:proofErr w:type="spellEnd"/>
          </w:p>
        </w:tc>
        <w:tc>
          <w:tcPr>
            <w:tcW w:w="626" w:type="dxa"/>
            <w:tcBorders>
              <w:top w:val="single" w:sz="4" w:space="0" w:color="auto"/>
              <w:left w:val="nil"/>
              <w:bottom w:val="single" w:sz="4" w:space="0" w:color="auto"/>
              <w:right w:val="single" w:sz="4" w:space="0" w:color="auto"/>
            </w:tcBorders>
            <w:shd w:val="clear" w:color="auto" w:fill="auto"/>
            <w:noWrap/>
            <w:hideMark/>
          </w:tcPr>
          <w:p w14:paraId="37F1C8B9" w14:textId="6C2625C4" w:rsidR="00D923BB" w:rsidRPr="00AA34BE" w:rsidRDefault="00DD3445" w:rsidP="006240A3">
            <w:pPr>
              <w:jc w:val="center"/>
              <w:rPr>
                <w:rFonts w:cs="Arial"/>
                <w:color w:val="000000" w:themeColor="text1"/>
                <w:sz w:val="16"/>
                <w:szCs w:val="16"/>
              </w:rPr>
            </w:pPr>
            <w:proofErr w:type="spellStart"/>
            <w:r>
              <w:rPr>
                <w:color w:val="000000" w:themeColor="text1"/>
                <w:sz w:val="16"/>
                <w:szCs w:val="16"/>
                <w:lang w:val="en-US"/>
              </w:rPr>
              <w:t>x.x</w:t>
            </w:r>
            <w:proofErr w:type="spellEnd"/>
          </w:p>
        </w:tc>
        <w:tc>
          <w:tcPr>
            <w:tcW w:w="626" w:type="dxa"/>
            <w:tcBorders>
              <w:top w:val="single" w:sz="4" w:space="0" w:color="auto"/>
              <w:left w:val="nil"/>
              <w:bottom w:val="single" w:sz="4" w:space="0" w:color="auto"/>
              <w:right w:val="single" w:sz="4" w:space="0" w:color="auto"/>
            </w:tcBorders>
            <w:shd w:val="clear" w:color="auto" w:fill="auto"/>
            <w:noWrap/>
            <w:hideMark/>
          </w:tcPr>
          <w:p w14:paraId="51AE338D" w14:textId="77777777" w:rsidR="00D923BB" w:rsidRPr="00AA34BE" w:rsidRDefault="00D923BB" w:rsidP="006240A3">
            <w:pPr>
              <w:jc w:val="center"/>
              <w:rPr>
                <w:rFonts w:cs="Arial"/>
                <w:color w:val="000000" w:themeColor="text1"/>
                <w:sz w:val="16"/>
                <w:szCs w:val="16"/>
              </w:rPr>
            </w:pPr>
          </w:p>
        </w:tc>
        <w:tc>
          <w:tcPr>
            <w:tcW w:w="626" w:type="dxa"/>
            <w:tcBorders>
              <w:top w:val="single" w:sz="4" w:space="0" w:color="auto"/>
              <w:left w:val="nil"/>
              <w:bottom w:val="single" w:sz="4" w:space="0" w:color="auto"/>
              <w:right w:val="single" w:sz="4" w:space="0" w:color="auto"/>
            </w:tcBorders>
            <w:shd w:val="clear" w:color="auto" w:fill="auto"/>
            <w:noWrap/>
            <w:hideMark/>
          </w:tcPr>
          <w:p w14:paraId="22FC99F7" w14:textId="77777777" w:rsidR="00D923BB" w:rsidRPr="00AA34BE" w:rsidRDefault="00D923BB" w:rsidP="006240A3">
            <w:pPr>
              <w:jc w:val="center"/>
              <w:rPr>
                <w:rFonts w:cs="Arial"/>
                <w:color w:val="000000" w:themeColor="text1"/>
                <w:sz w:val="16"/>
                <w:szCs w:val="16"/>
              </w:rPr>
            </w:pPr>
          </w:p>
        </w:tc>
        <w:tc>
          <w:tcPr>
            <w:tcW w:w="626" w:type="dxa"/>
            <w:tcBorders>
              <w:top w:val="single" w:sz="4" w:space="0" w:color="auto"/>
              <w:left w:val="nil"/>
              <w:bottom w:val="single" w:sz="4" w:space="0" w:color="auto"/>
              <w:right w:val="single" w:sz="4" w:space="0" w:color="auto"/>
            </w:tcBorders>
            <w:shd w:val="clear" w:color="auto" w:fill="auto"/>
            <w:noWrap/>
            <w:hideMark/>
          </w:tcPr>
          <w:p w14:paraId="4FAB683B" w14:textId="77777777" w:rsidR="00D923BB" w:rsidRPr="00AA34BE" w:rsidRDefault="00D923BB" w:rsidP="006240A3">
            <w:pPr>
              <w:jc w:val="center"/>
              <w:rPr>
                <w:rFonts w:cs="Arial"/>
                <w:color w:val="000000" w:themeColor="text1"/>
                <w:sz w:val="16"/>
                <w:szCs w:val="16"/>
              </w:rPr>
            </w:pPr>
          </w:p>
        </w:tc>
        <w:tc>
          <w:tcPr>
            <w:tcW w:w="626" w:type="dxa"/>
            <w:tcBorders>
              <w:top w:val="single" w:sz="4" w:space="0" w:color="auto"/>
              <w:left w:val="nil"/>
              <w:bottom w:val="single" w:sz="4" w:space="0" w:color="auto"/>
              <w:right w:val="single" w:sz="4" w:space="0" w:color="auto"/>
            </w:tcBorders>
            <w:shd w:val="clear" w:color="auto" w:fill="auto"/>
            <w:noWrap/>
            <w:hideMark/>
          </w:tcPr>
          <w:p w14:paraId="7DCA6E8E" w14:textId="77777777" w:rsidR="00D923BB" w:rsidRPr="00AA34BE" w:rsidRDefault="00D923BB" w:rsidP="006240A3">
            <w:pPr>
              <w:jc w:val="center"/>
              <w:rPr>
                <w:rFonts w:cs="Arial"/>
                <w:color w:val="000000" w:themeColor="text1"/>
                <w:sz w:val="16"/>
                <w:szCs w:val="16"/>
              </w:rPr>
            </w:pPr>
          </w:p>
        </w:tc>
        <w:tc>
          <w:tcPr>
            <w:tcW w:w="820" w:type="dxa"/>
            <w:tcBorders>
              <w:top w:val="single" w:sz="4" w:space="0" w:color="auto"/>
              <w:left w:val="nil"/>
              <w:bottom w:val="single" w:sz="4" w:space="0" w:color="auto"/>
              <w:right w:val="single" w:sz="4" w:space="0" w:color="auto"/>
            </w:tcBorders>
            <w:shd w:val="clear" w:color="auto" w:fill="auto"/>
            <w:noWrap/>
            <w:hideMark/>
          </w:tcPr>
          <w:p w14:paraId="5A003698" w14:textId="77777777" w:rsidR="00D923BB" w:rsidRPr="00AA34BE" w:rsidRDefault="00D923BB" w:rsidP="006240A3">
            <w:pPr>
              <w:jc w:val="center"/>
              <w:rPr>
                <w:rFonts w:cs="Arial"/>
                <w:color w:val="000000" w:themeColor="text1"/>
                <w:sz w:val="16"/>
                <w:szCs w:val="16"/>
              </w:rPr>
            </w:pPr>
          </w:p>
        </w:tc>
      </w:tr>
      <w:tr w:rsidR="00DD3445" w:rsidRPr="00AA34BE" w14:paraId="6D819CD0" w14:textId="77777777" w:rsidTr="006240A3">
        <w:trPr>
          <w:trHeight w:val="210"/>
        </w:trPr>
        <w:tc>
          <w:tcPr>
            <w:tcW w:w="1382" w:type="dxa"/>
            <w:tcBorders>
              <w:top w:val="nil"/>
              <w:left w:val="single" w:sz="4" w:space="0" w:color="auto"/>
              <w:bottom w:val="single" w:sz="4" w:space="0" w:color="auto"/>
              <w:right w:val="single" w:sz="4" w:space="0" w:color="auto"/>
            </w:tcBorders>
            <w:shd w:val="clear" w:color="auto" w:fill="auto"/>
            <w:noWrap/>
            <w:hideMark/>
          </w:tcPr>
          <w:p w14:paraId="5EF45CD7" w14:textId="77777777" w:rsidR="00DD3445" w:rsidRPr="00AA34BE" w:rsidRDefault="00DD3445" w:rsidP="00DD3445">
            <w:pPr>
              <w:jc w:val="right"/>
              <w:rPr>
                <w:rFonts w:cs="Arial"/>
                <w:color w:val="000000" w:themeColor="text1"/>
                <w:sz w:val="16"/>
                <w:szCs w:val="16"/>
              </w:rPr>
            </w:pPr>
            <w:r w:rsidRPr="00AA34BE">
              <w:rPr>
                <w:color w:val="000000" w:themeColor="text1"/>
                <w:sz w:val="16"/>
                <w:szCs w:val="16"/>
              </w:rPr>
              <w:t>2023</w:t>
            </w:r>
          </w:p>
        </w:tc>
        <w:tc>
          <w:tcPr>
            <w:tcW w:w="552" w:type="dxa"/>
            <w:tcBorders>
              <w:top w:val="nil"/>
              <w:left w:val="nil"/>
              <w:bottom w:val="single" w:sz="4" w:space="0" w:color="auto"/>
              <w:right w:val="single" w:sz="4" w:space="0" w:color="auto"/>
            </w:tcBorders>
            <w:shd w:val="clear" w:color="auto" w:fill="auto"/>
            <w:noWrap/>
            <w:hideMark/>
          </w:tcPr>
          <w:p w14:paraId="5F9A96F8" w14:textId="77777777" w:rsidR="00DD3445" w:rsidRPr="00AA34BE" w:rsidRDefault="00DD3445" w:rsidP="00DD3445">
            <w:pPr>
              <w:jc w:val="center"/>
              <w:rPr>
                <w:rFonts w:cs="Arial"/>
                <w:color w:val="000000" w:themeColor="text1"/>
                <w:sz w:val="16"/>
                <w:szCs w:val="16"/>
              </w:rPr>
            </w:pPr>
            <w:proofErr w:type="spellStart"/>
            <w:r w:rsidRPr="00AA34BE">
              <w:rPr>
                <w:color w:val="000000" w:themeColor="text1"/>
                <w:sz w:val="16"/>
                <w:szCs w:val="16"/>
                <w:vertAlign w:val="superscript"/>
              </w:rPr>
              <w:t>o</w:t>
            </w:r>
            <w:r w:rsidRPr="00AA34BE">
              <w:rPr>
                <w:color w:val="000000" w:themeColor="text1"/>
                <w:sz w:val="16"/>
                <w:szCs w:val="16"/>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489E9364" w14:textId="74749155" w:rsidR="00DD3445" w:rsidRPr="00DD3445" w:rsidRDefault="00DD3445" w:rsidP="00DD3445">
            <w:pPr>
              <w:jc w:val="center"/>
              <w:rPr>
                <w:rFonts w:cs="Arial"/>
                <w:color w:val="000000" w:themeColor="text1"/>
                <w:sz w:val="16"/>
                <w:szCs w:val="16"/>
                <w:lang w:val="en-US"/>
              </w:rPr>
            </w:pPr>
            <w:proofErr w:type="spellStart"/>
            <w:r w:rsidRPr="00E17836">
              <w:rPr>
                <w:color w:val="000000" w:themeColor="text1"/>
                <w:sz w:val="16"/>
                <w:szCs w:val="16"/>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0689415E" w14:textId="35068566"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5A9D650D" w14:textId="63D6F3BA"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633A7C83" w14:textId="02CAD998"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55C790CB" w14:textId="281CE3F6" w:rsidR="00DD3445" w:rsidRPr="00AA34BE" w:rsidRDefault="00DD3445" w:rsidP="00DD3445">
            <w:pPr>
              <w:jc w:val="center"/>
              <w:rPr>
                <w:rFonts w:cs="Arial"/>
                <w:color w:val="000000" w:themeColor="text1"/>
                <w:sz w:val="16"/>
                <w:szCs w:val="16"/>
              </w:rPr>
            </w:pPr>
            <w:proofErr w:type="spellStart"/>
            <w:r w:rsidRPr="003C1F1E">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640AA877" w14:textId="0BA4E3AA" w:rsidR="00DD3445" w:rsidRPr="00AA34BE" w:rsidRDefault="00DD3445" w:rsidP="00DD3445">
            <w:pPr>
              <w:jc w:val="center"/>
              <w:rPr>
                <w:rFonts w:cs="Arial"/>
                <w:color w:val="000000" w:themeColor="text1"/>
                <w:sz w:val="16"/>
                <w:szCs w:val="16"/>
              </w:rPr>
            </w:pPr>
            <w:proofErr w:type="spellStart"/>
            <w:r w:rsidRPr="003C1F1E">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07EDCC94" w14:textId="5F2569AD" w:rsidR="00DD3445" w:rsidRPr="00AA34BE" w:rsidRDefault="00DD3445" w:rsidP="00DD3445">
            <w:pPr>
              <w:jc w:val="center"/>
              <w:rPr>
                <w:rFonts w:cs="Arial"/>
                <w:color w:val="000000" w:themeColor="text1"/>
                <w:sz w:val="16"/>
                <w:szCs w:val="16"/>
              </w:rPr>
            </w:pPr>
            <w:proofErr w:type="spellStart"/>
            <w:r w:rsidRPr="003C1F1E">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48CDFA18" w14:textId="645A470A" w:rsidR="00DD3445" w:rsidRPr="00AA34BE" w:rsidRDefault="00DD3445" w:rsidP="00DD3445">
            <w:pPr>
              <w:jc w:val="center"/>
              <w:rPr>
                <w:rFonts w:cs="Arial"/>
                <w:color w:val="000000" w:themeColor="text1"/>
                <w:sz w:val="16"/>
                <w:szCs w:val="16"/>
              </w:rPr>
            </w:pPr>
            <w:proofErr w:type="spellStart"/>
            <w:r w:rsidRPr="003C1F1E">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21004AA1" w14:textId="7A9401CD" w:rsidR="00DD3445" w:rsidRPr="00AA34BE" w:rsidRDefault="00DD3445" w:rsidP="00DD3445">
            <w:pPr>
              <w:jc w:val="center"/>
              <w:rPr>
                <w:rFonts w:cs="Arial"/>
                <w:color w:val="000000" w:themeColor="text1"/>
                <w:sz w:val="16"/>
                <w:szCs w:val="16"/>
              </w:rPr>
            </w:pPr>
            <w:proofErr w:type="spellStart"/>
            <w:r w:rsidRPr="00286056">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233BC926" w14:textId="29B95180"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47A0754B" w14:textId="38B75105"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71C0AAD1" w14:textId="4EDC58CE"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0765F556" w14:textId="757AD9A0"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r>
      <w:tr w:rsidR="00DD3445" w:rsidRPr="00AA34BE" w14:paraId="2B06C23A" w14:textId="77777777" w:rsidTr="006240A3">
        <w:trPr>
          <w:trHeight w:val="210"/>
        </w:trPr>
        <w:tc>
          <w:tcPr>
            <w:tcW w:w="1382" w:type="dxa"/>
            <w:tcBorders>
              <w:top w:val="nil"/>
              <w:left w:val="single" w:sz="4" w:space="0" w:color="auto"/>
              <w:bottom w:val="single" w:sz="4" w:space="0" w:color="auto"/>
              <w:right w:val="single" w:sz="4" w:space="0" w:color="auto"/>
            </w:tcBorders>
            <w:shd w:val="clear" w:color="auto" w:fill="auto"/>
            <w:noWrap/>
            <w:hideMark/>
          </w:tcPr>
          <w:p w14:paraId="2069B6B9" w14:textId="77777777" w:rsidR="00DD3445" w:rsidRPr="00AA34BE" w:rsidRDefault="00DD3445" w:rsidP="00DD3445">
            <w:pPr>
              <w:jc w:val="right"/>
              <w:rPr>
                <w:rFonts w:cs="Arial"/>
                <w:color w:val="000000" w:themeColor="text1"/>
                <w:sz w:val="16"/>
                <w:szCs w:val="16"/>
              </w:rPr>
            </w:pPr>
            <w:r w:rsidRPr="00AA34BE">
              <w:rPr>
                <w:color w:val="000000" w:themeColor="text1"/>
                <w:sz w:val="16"/>
                <w:szCs w:val="16"/>
              </w:rPr>
              <w:t>2022</w:t>
            </w:r>
          </w:p>
        </w:tc>
        <w:tc>
          <w:tcPr>
            <w:tcW w:w="552" w:type="dxa"/>
            <w:tcBorders>
              <w:top w:val="nil"/>
              <w:left w:val="nil"/>
              <w:bottom w:val="single" w:sz="4" w:space="0" w:color="auto"/>
              <w:right w:val="single" w:sz="4" w:space="0" w:color="auto"/>
            </w:tcBorders>
            <w:shd w:val="clear" w:color="auto" w:fill="auto"/>
            <w:noWrap/>
            <w:hideMark/>
          </w:tcPr>
          <w:p w14:paraId="1293A510" w14:textId="77777777" w:rsidR="00DD3445" w:rsidRPr="00AA34BE" w:rsidRDefault="00DD3445" w:rsidP="00DD3445">
            <w:pPr>
              <w:jc w:val="center"/>
              <w:rPr>
                <w:rFonts w:cs="Arial"/>
                <w:color w:val="000000" w:themeColor="text1"/>
                <w:sz w:val="16"/>
                <w:szCs w:val="16"/>
              </w:rPr>
            </w:pPr>
            <w:proofErr w:type="spellStart"/>
            <w:r w:rsidRPr="00AA34BE">
              <w:rPr>
                <w:color w:val="000000" w:themeColor="text1"/>
                <w:sz w:val="16"/>
                <w:szCs w:val="16"/>
                <w:vertAlign w:val="superscript"/>
              </w:rPr>
              <w:t>o</w:t>
            </w:r>
            <w:r w:rsidRPr="00AA34BE">
              <w:rPr>
                <w:color w:val="000000" w:themeColor="text1"/>
                <w:sz w:val="16"/>
                <w:szCs w:val="16"/>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452FFFB9" w14:textId="6FF3FCDD"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5D723CCA" w14:textId="4CDA3FD9"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0292F065" w14:textId="688656EC"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5A1D1274" w14:textId="14F978D8"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2859DC16" w14:textId="56A38F6B" w:rsidR="00DD3445" w:rsidRPr="00AA34BE" w:rsidRDefault="00DD3445" w:rsidP="00DD3445">
            <w:pPr>
              <w:jc w:val="center"/>
              <w:rPr>
                <w:rFonts w:cs="Arial"/>
                <w:color w:val="000000" w:themeColor="text1"/>
                <w:sz w:val="16"/>
                <w:szCs w:val="16"/>
              </w:rPr>
            </w:pPr>
            <w:proofErr w:type="spellStart"/>
            <w:r>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A5D10B6" w14:textId="33F55E53" w:rsidR="00DD3445" w:rsidRPr="00AA34BE" w:rsidRDefault="00DD3445" w:rsidP="00DD3445">
            <w:pPr>
              <w:jc w:val="center"/>
              <w:rPr>
                <w:rFonts w:cs="Arial"/>
                <w:color w:val="000000" w:themeColor="text1"/>
                <w:sz w:val="16"/>
                <w:szCs w:val="16"/>
              </w:rPr>
            </w:pPr>
            <w:proofErr w:type="spellStart"/>
            <w:r w:rsidRPr="00603C1A">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7F56CBFD" w14:textId="46D8255F" w:rsidR="00DD3445" w:rsidRPr="00AA34BE" w:rsidRDefault="00DD3445" w:rsidP="00DD3445">
            <w:pPr>
              <w:jc w:val="center"/>
              <w:rPr>
                <w:rFonts w:cs="Arial"/>
                <w:color w:val="000000" w:themeColor="text1"/>
                <w:sz w:val="16"/>
                <w:szCs w:val="16"/>
              </w:rPr>
            </w:pPr>
            <w:proofErr w:type="spellStart"/>
            <w:r w:rsidRPr="00603C1A">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3FDC99C1" w14:textId="451C11CF" w:rsidR="00DD3445" w:rsidRPr="00AA34BE" w:rsidRDefault="00DD3445" w:rsidP="00DD3445">
            <w:pPr>
              <w:jc w:val="center"/>
              <w:rPr>
                <w:rFonts w:cs="Arial"/>
                <w:color w:val="000000" w:themeColor="text1"/>
                <w:sz w:val="16"/>
                <w:szCs w:val="16"/>
              </w:rPr>
            </w:pPr>
            <w:proofErr w:type="spellStart"/>
            <w:r w:rsidRPr="00603C1A">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0D0349DF" w14:textId="37255839" w:rsidR="00DD3445" w:rsidRPr="00AA34BE" w:rsidRDefault="00DD3445" w:rsidP="00DD3445">
            <w:pPr>
              <w:jc w:val="center"/>
              <w:rPr>
                <w:rFonts w:cs="Arial"/>
                <w:color w:val="000000" w:themeColor="text1"/>
                <w:sz w:val="16"/>
                <w:szCs w:val="16"/>
              </w:rPr>
            </w:pPr>
            <w:proofErr w:type="spellStart"/>
            <w:r w:rsidRPr="00286056">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5235B1CC" w14:textId="38FB1F20"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70F2CB61" w14:textId="421AC61C"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2D713423" w14:textId="3A8AA967"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6AE9EBC5" w14:textId="4908F563"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r>
      <w:tr w:rsidR="00DD3445" w:rsidRPr="00AA34BE" w14:paraId="61A2956B" w14:textId="77777777" w:rsidTr="006240A3">
        <w:trPr>
          <w:trHeight w:val="210"/>
        </w:trPr>
        <w:tc>
          <w:tcPr>
            <w:tcW w:w="1382" w:type="dxa"/>
            <w:tcBorders>
              <w:top w:val="nil"/>
              <w:left w:val="single" w:sz="4" w:space="0" w:color="auto"/>
              <w:bottom w:val="single" w:sz="4" w:space="0" w:color="auto"/>
              <w:right w:val="single" w:sz="4" w:space="0" w:color="auto"/>
            </w:tcBorders>
            <w:shd w:val="clear" w:color="auto" w:fill="auto"/>
            <w:noWrap/>
            <w:hideMark/>
          </w:tcPr>
          <w:p w14:paraId="3D560702" w14:textId="77777777" w:rsidR="00DD3445" w:rsidRPr="00AA34BE" w:rsidRDefault="00DD3445" w:rsidP="00DD3445">
            <w:pPr>
              <w:jc w:val="right"/>
              <w:rPr>
                <w:rFonts w:cs="Arial"/>
                <w:color w:val="000000" w:themeColor="text1"/>
                <w:sz w:val="16"/>
                <w:szCs w:val="16"/>
              </w:rPr>
            </w:pPr>
            <w:r w:rsidRPr="00AA34BE">
              <w:rPr>
                <w:color w:val="000000" w:themeColor="text1"/>
                <w:sz w:val="16"/>
                <w:szCs w:val="16"/>
              </w:rPr>
              <w:t>2021</w:t>
            </w:r>
          </w:p>
        </w:tc>
        <w:tc>
          <w:tcPr>
            <w:tcW w:w="552" w:type="dxa"/>
            <w:tcBorders>
              <w:top w:val="nil"/>
              <w:left w:val="nil"/>
              <w:bottom w:val="single" w:sz="4" w:space="0" w:color="auto"/>
              <w:right w:val="single" w:sz="4" w:space="0" w:color="auto"/>
            </w:tcBorders>
            <w:shd w:val="clear" w:color="auto" w:fill="auto"/>
            <w:noWrap/>
            <w:hideMark/>
          </w:tcPr>
          <w:p w14:paraId="2857ACB2" w14:textId="77777777" w:rsidR="00DD3445" w:rsidRPr="00AA34BE" w:rsidRDefault="00DD3445" w:rsidP="00DD3445">
            <w:pPr>
              <w:jc w:val="center"/>
              <w:rPr>
                <w:rFonts w:cs="Arial"/>
                <w:color w:val="000000" w:themeColor="text1"/>
                <w:sz w:val="16"/>
                <w:szCs w:val="16"/>
              </w:rPr>
            </w:pPr>
            <w:proofErr w:type="spellStart"/>
            <w:r w:rsidRPr="00AA34BE">
              <w:rPr>
                <w:color w:val="000000" w:themeColor="text1"/>
                <w:sz w:val="16"/>
                <w:szCs w:val="16"/>
                <w:vertAlign w:val="superscript"/>
              </w:rPr>
              <w:t>o</w:t>
            </w:r>
            <w:r w:rsidRPr="00AA34BE">
              <w:rPr>
                <w:color w:val="000000" w:themeColor="text1"/>
                <w:sz w:val="16"/>
                <w:szCs w:val="16"/>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468901C1" w14:textId="5C3C8E66"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111521D5" w14:textId="30E4249B"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72BF9E40" w14:textId="1262B98B"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3C26EE18" w14:textId="5782269D"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3C88D77A" w14:textId="00953B71" w:rsidR="00DD3445" w:rsidRPr="00AA34BE" w:rsidRDefault="00DD3445" w:rsidP="00DD3445">
            <w:pPr>
              <w:jc w:val="center"/>
              <w:rPr>
                <w:rFonts w:cs="Arial"/>
                <w:color w:val="000000" w:themeColor="text1"/>
                <w:sz w:val="16"/>
                <w:szCs w:val="16"/>
              </w:rPr>
            </w:pPr>
            <w:proofErr w:type="spellStart"/>
            <w:r w:rsidRPr="00E9210B">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68BF251B" w14:textId="005AE8DA" w:rsidR="00DD3445" w:rsidRPr="00AA34BE" w:rsidRDefault="00DD3445" w:rsidP="00DD3445">
            <w:pPr>
              <w:jc w:val="center"/>
              <w:rPr>
                <w:rFonts w:cs="Arial"/>
                <w:color w:val="000000" w:themeColor="text1"/>
                <w:sz w:val="16"/>
                <w:szCs w:val="16"/>
              </w:rPr>
            </w:pPr>
            <w:proofErr w:type="spellStart"/>
            <w:r w:rsidRPr="00E9210B">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07FF6915" w14:textId="326EEF78" w:rsidR="00DD3445" w:rsidRPr="00AA34BE" w:rsidRDefault="00DD3445" w:rsidP="00DD3445">
            <w:pPr>
              <w:jc w:val="center"/>
              <w:rPr>
                <w:rFonts w:cs="Arial"/>
                <w:color w:val="000000" w:themeColor="text1"/>
                <w:sz w:val="16"/>
                <w:szCs w:val="16"/>
              </w:rPr>
            </w:pPr>
            <w:proofErr w:type="spellStart"/>
            <w:r w:rsidRPr="00E9210B">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6C6F1029" w14:textId="5A0B3587" w:rsidR="00DD3445" w:rsidRPr="00AA34BE" w:rsidRDefault="00DD3445" w:rsidP="00DD3445">
            <w:pPr>
              <w:jc w:val="center"/>
              <w:rPr>
                <w:rFonts w:cs="Arial"/>
                <w:color w:val="000000" w:themeColor="text1"/>
                <w:sz w:val="16"/>
                <w:szCs w:val="16"/>
              </w:rPr>
            </w:pPr>
            <w:proofErr w:type="spellStart"/>
            <w:r w:rsidRPr="00E9210B">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7BCBE44F" w14:textId="2231F941" w:rsidR="00DD3445" w:rsidRPr="00AA34BE" w:rsidRDefault="00DD3445" w:rsidP="00DD3445">
            <w:pPr>
              <w:jc w:val="center"/>
              <w:rPr>
                <w:rFonts w:cs="Arial"/>
                <w:color w:val="000000" w:themeColor="text1"/>
                <w:sz w:val="16"/>
                <w:szCs w:val="16"/>
              </w:rPr>
            </w:pPr>
            <w:proofErr w:type="spellStart"/>
            <w:r w:rsidRPr="00286056">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5802AECC" w14:textId="4F5999D6"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79F8AAF0" w14:textId="5A6B7718"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53C2A96E" w14:textId="14C2A10C"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6DEABEB2" w14:textId="4F5D092C"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r>
      <w:tr w:rsidR="00DD3445" w:rsidRPr="00AA34BE" w14:paraId="2976F512" w14:textId="77777777" w:rsidTr="006240A3">
        <w:trPr>
          <w:trHeight w:val="210"/>
        </w:trPr>
        <w:tc>
          <w:tcPr>
            <w:tcW w:w="1382" w:type="dxa"/>
            <w:tcBorders>
              <w:top w:val="nil"/>
              <w:left w:val="single" w:sz="4" w:space="0" w:color="auto"/>
              <w:bottom w:val="single" w:sz="4" w:space="0" w:color="auto"/>
              <w:right w:val="single" w:sz="4" w:space="0" w:color="auto"/>
            </w:tcBorders>
            <w:shd w:val="clear" w:color="auto" w:fill="auto"/>
            <w:noWrap/>
            <w:hideMark/>
          </w:tcPr>
          <w:p w14:paraId="354B134C" w14:textId="77777777" w:rsidR="00DD3445" w:rsidRPr="00AA34BE" w:rsidRDefault="00DD3445" w:rsidP="00DD3445">
            <w:pPr>
              <w:jc w:val="right"/>
              <w:rPr>
                <w:rFonts w:cs="Arial"/>
                <w:color w:val="000000" w:themeColor="text1"/>
                <w:sz w:val="16"/>
                <w:szCs w:val="16"/>
              </w:rPr>
            </w:pPr>
            <w:r w:rsidRPr="00AA34BE">
              <w:rPr>
                <w:color w:val="000000" w:themeColor="text1"/>
                <w:sz w:val="16"/>
                <w:szCs w:val="16"/>
              </w:rPr>
              <w:t>2020</w:t>
            </w:r>
          </w:p>
        </w:tc>
        <w:tc>
          <w:tcPr>
            <w:tcW w:w="552" w:type="dxa"/>
            <w:tcBorders>
              <w:top w:val="nil"/>
              <w:left w:val="nil"/>
              <w:bottom w:val="single" w:sz="4" w:space="0" w:color="auto"/>
              <w:right w:val="single" w:sz="4" w:space="0" w:color="auto"/>
            </w:tcBorders>
            <w:shd w:val="clear" w:color="auto" w:fill="auto"/>
            <w:noWrap/>
            <w:hideMark/>
          </w:tcPr>
          <w:p w14:paraId="1C3013E4" w14:textId="77777777" w:rsidR="00DD3445" w:rsidRPr="00AA34BE" w:rsidRDefault="00DD3445" w:rsidP="00DD3445">
            <w:pPr>
              <w:jc w:val="center"/>
              <w:rPr>
                <w:rFonts w:cs="Arial"/>
                <w:color w:val="000000" w:themeColor="text1"/>
                <w:sz w:val="16"/>
                <w:szCs w:val="16"/>
              </w:rPr>
            </w:pPr>
            <w:proofErr w:type="spellStart"/>
            <w:r w:rsidRPr="00AA34BE">
              <w:rPr>
                <w:color w:val="000000" w:themeColor="text1"/>
                <w:sz w:val="16"/>
                <w:szCs w:val="16"/>
                <w:vertAlign w:val="superscript"/>
              </w:rPr>
              <w:t>o</w:t>
            </w:r>
            <w:r w:rsidRPr="00AA34BE">
              <w:rPr>
                <w:color w:val="000000" w:themeColor="text1"/>
                <w:sz w:val="16"/>
                <w:szCs w:val="16"/>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7B77DE07" w14:textId="35396AD4"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408DA855" w14:textId="7B7EBDA7"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57F8D0A" w14:textId="4BB8B4A7"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59526909" w14:textId="02C37A79"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49946525" w14:textId="0C3FA51E" w:rsidR="00DD3445" w:rsidRPr="00AA34BE" w:rsidRDefault="00DD3445" w:rsidP="00DD3445">
            <w:pPr>
              <w:jc w:val="center"/>
              <w:rPr>
                <w:rFonts w:cs="Arial"/>
                <w:color w:val="000000" w:themeColor="text1"/>
                <w:sz w:val="16"/>
                <w:szCs w:val="16"/>
              </w:rPr>
            </w:pPr>
            <w:proofErr w:type="spellStart"/>
            <w:r w:rsidRPr="00B157E5">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5CF92557" w14:textId="331A10DA" w:rsidR="00DD3445" w:rsidRPr="00AA34BE" w:rsidRDefault="00DD3445" w:rsidP="00DD3445">
            <w:pPr>
              <w:jc w:val="center"/>
              <w:rPr>
                <w:rFonts w:cs="Arial"/>
                <w:color w:val="000000" w:themeColor="text1"/>
                <w:sz w:val="16"/>
                <w:szCs w:val="16"/>
              </w:rPr>
            </w:pPr>
            <w:proofErr w:type="spellStart"/>
            <w:r w:rsidRPr="00B157E5">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5D1A5FD5" w14:textId="061E1FAB" w:rsidR="00DD3445" w:rsidRPr="00AA34BE" w:rsidRDefault="00DD3445" w:rsidP="00DD3445">
            <w:pPr>
              <w:jc w:val="center"/>
              <w:rPr>
                <w:rFonts w:cs="Arial"/>
                <w:color w:val="000000" w:themeColor="text1"/>
                <w:sz w:val="16"/>
                <w:szCs w:val="16"/>
              </w:rPr>
            </w:pPr>
            <w:proofErr w:type="spellStart"/>
            <w:r w:rsidRPr="00B157E5">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57DB576D" w14:textId="52A4FBEE" w:rsidR="00DD3445" w:rsidRPr="00AA34BE" w:rsidRDefault="00DD3445" w:rsidP="00DD3445">
            <w:pPr>
              <w:jc w:val="center"/>
              <w:rPr>
                <w:rFonts w:cs="Arial"/>
                <w:color w:val="000000" w:themeColor="text1"/>
                <w:sz w:val="16"/>
                <w:szCs w:val="16"/>
              </w:rPr>
            </w:pPr>
            <w:proofErr w:type="spellStart"/>
            <w:r w:rsidRPr="00B157E5">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14B5E3C4" w14:textId="4D032709" w:rsidR="00DD3445" w:rsidRPr="00AA34BE" w:rsidRDefault="00DD3445" w:rsidP="00DD3445">
            <w:pPr>
              <w:jc w:val="center"/>
              <w:rPr>
                <w:rFonts w:cs="Arial"/>
                <w:color w:val="000000" w:themeColor="text1"/>
                <w:sz w:val="16"/>
                <w:szCs w:val="16"/>
              </w:rPr>
            </w:pPr>
            <w:proofErr w:type="spellStart"/>
            <w:r w:rsidRPr="00286056">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20EF90A6" w14:textId="4364BA9B"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218CFDDC" w14:textId="7E5D22F7"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38F39453" w14:textId="3400E384"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738DFEDA" w14:textId="0BC781EA"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r>
      <w:tr w:rsidR="00DD3445" w:rsidRPr="00AA34BE" w14:paraId="7F007508" w14:textId="77777777" w:rsidTr="006240A3">
        <w:trPr>
          <w:trHeight w:val="210"/>
        </w:trPr>
        <w:tc>
          <w:tcPr>
            <w:tcW w:w="1382" w:type="dxa"/>
            <w:tcBorders>
              <w:top w:val="nil"/>
              <w:left w:val="single" w:sz="4" w:space="0" w:color="auto"/>
              <w:bottom w:val="single" w:sz="4" w:space="0" w:color="auto"/>
              <w:right w:val="single" w:sz="4" w:space="0" w:color="auto"/>
            </w:tcBorders>
            <w:shd w:val="clear" w:color="auto" w:fill="auto"/>
            <w:noWrap/>
            <w:hideMark/>
          </w:tcPr>
          <w:p w14:paraId="53A48164" w14:textId="77777777" w:rsidR="00DD3445" w:rsidRPr="00AA34BE" w:rsidRDefault="00DD3445" w:rsidP="00DD3445">
            <w:pPr>
              <w:jc w:val="right"/>
              <w:rPr>
                <w:rFonts w:cs="Arial"/>
                <w:color w:val="000000" w:themeColor="text1"/>
                <w:sz w:val="16"/>
                <w:szCs w:val="16"/>
              </w:rPr>
            </w:pPr>
            <w:r w:rsidRPr="00AA34BE">
              <w:rPr>
                <w:color w:val="000000" w:themeColor="text1"/>
                <w:sz w:val="16"/>
                <w:szCs w:val="16"/>
              </w:rPr>
              <w:t>2019</w:t>
            </w:r>
          </w:p>
        </w:tc>
        <w:tc>
          <w:tcPr>
            <w:tcW w:w="552" w:type="dxa"/>
            <w:tcBorders>
              <w:top w:val="nil"/>
              <w:left w:val="nil"/>
              <w:bottom w:val="single" w:sz="4" w:space="0" w:color="auto"/>
              <w:right w:val="single" w:sz="4" w:space="0" w:color="auto"/>
            </w:tcBorders>
            <w:shd w:val="clear" w:color="auto" w:fill="auto"/>
            <w:noWrap/>
            <w:hideMark/>
          </w:tcPr>
          <w:p w14:paraId="6904A89A" w14:textId="77777777" w:rsidR="00DD3445" w:rsidRPr="00AA34BE" w:rsidRDefault="00DD3445" w:rsidP="00DD3445">
            <w:pPr>
              <w:jc w:val="center"/>
              <w:rPr>
                <w:rFonts w:cs="Arial"/>
                <w:color w:val="000000" w:themeColor="text1"/>
                <w:sz w:val="16"/>
                <w:szCs w:val="16"/>
              </w:rPr>
            </w:pPr>
            <w:proofErr w:type="spellStart"/>
            <w:r w:rsidRPr="00AA34BE">
              <w:rPr>
                <w:color w:val="000000" w:themeColor="text1"/>
                <w:sz w:val="16"/>
                <w:szCs w:val="16"/>
                <w:vertAlign w:val="superscript"/>
              </w:rPr>
              <w:t>o</w:t>
            </w:r>
            <w:r w:rsidRPr="00AA34BE">
              <w:rPr>
                <w:color w:val="000000" w:themeColor="text1"/>
                <w:sz w:val="16"/>
                <w:szCs w:val="16"/>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72C4FC86" w14:textId="5B449937"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0A18A60E" w14:textId="260525BF"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6EA726D9" w14:textId="330F0C48"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D8A42C7" w14:textId="0C75B3C0"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5C308E27" w14:textId="77242254" w:rsidR="00DD3445" w:rsidRPr="00AA34BE" w:rsidRDefault="00DD3445" w:rsidP="00DD3445">
            <w:pPr>
              <w:jc w:val="center"/>
              <w:rPr>
                <w:rFonts w:cs="Arial"/>
                <w:color w:val="000000" w:themeColor="text1"/>
                <w:sz w:val="16"/>
                <w:szCs w:val="16"/>
              </w:rPr>
            </w:pPr>
            <w:proofErr w:type="spellStart"/>
            <w:r>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4DCA6168" w14:textId="133FB122" w:rsidR="00DD3445" w:rsidRPr="00AA34BE" w:rsidRDefault="00DD3445" w:rsidP="00DD3445">
            <w:pPr>
              <w:jc w:val="center"/>
              <w:rPr>
                <w:rFonts w:cs="Arial"/>
                <w:color w:val="000000" w:themeColor="text1"/>
                <w:sz w:val="16"/>
                <w:szCs w:val="16"/>
              </w:rPr>
            </w:pPr>
            <w:proofErr w:type="spellStart"/>
            <w:r w:rsidRPr="005A25A9">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6807BA8E" w14:textId="47406581" w:rsidR="00DD3445" w:rsidRPr="00AA34BE" w:rsidRDefault="00DD3445" w:rsidP="00DD3445">
            <w:pPr>
              <w:jc w:val="center"/>
              <w:rPr>
                <w:rFonts w:cs="Arial"/>
                <w:color w:val="000000" w:themeColor="text1"/>
                <w:sz w:val="16"/>
                <w:szCs w:val="16"/>
              </w:rPr>
            </w:pPr>
            <w:proofErr w:type="spellStart"/>
            <w:r w:rsidRPr="005A25A9">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0B8CC962" w14:textId="15E09624" w:rsidR="00DD3445" w:rsidRPr="00AA34BE" w:rsidRDefault="00DD3445" w:rsidP="00DD3445">
            <w:pPr>
              <w:jc w:val="center"/>
              <w:rPr>
                <w:rFonts w:cs="Arial"/>
                <w:color w:val="000000" w:themeColor="text1"/>
                <w:sz w:val="16"/>
                <w:szCs w:val="16"/>
              </w:rPr>
            </w:pPr>
            <w:proofErr w:type="spellStart"/>
            <w:r w:rsidRPr="005A25A9">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33166861" w14:textId="3575A132" w:rsidR="00DD3445" w:rsidRPr="00AA34BE" w:rsidRDefault="00DD3445" w:rsidP="00DD3445">
            <w:pPr>
              <w:jc w:val="center"/>
              <w:rPr>
                <w:rFonts w:cs="Arial"/>
                <w:color w:val="000000" w:themeColor="text1"/>
                <w:sz w:val="16"/>
                <w:szCs w:val="16"/>
              </w:rPr>
            </w:pPr>
            <w:proofErr w:type="spellStart"/>
            <w:r>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7DAF186B" w14:textId="602ECA3C"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4148B024" w14:textId="3DA0473F"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C9A24E1" w14:textId="27D02E70"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6085905F" w14:textId="5995B930"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r>
      <w:tr w:rsidR="00DD3445" w:rsidRPr="00AA34BE" w14:paraId="3CC6C144" w14:textId="77777777" w:rsidTr="006240A3">
        <w:trPr>
          <w:trHeight w:val="210"/>
        </w:trPr>
        <w:tc>
          <w:tcPr>
            <w:tcW w:w="1382" w:type="dxa"/>
            <w:tcBorders>
              <w:top w:val="nil"/>
              <w:left w:val="single" w:sz="4" w:space="0" w:color="auto"/>
              <w:bottom w:val="single" w:sz="4" w:space="0" w:color="auto"/>
              <w:right w:val="single" w:sz="4" w:space="0" w:color="auto"/>
            </w:tcBorders>
            <w:shd w:val="clear" w:color="auto" w:fill="auto"/>
            <w:noWrap/>
            <w:hideMark/>
          </w:tcPr>
          <w:p w14:paraId="4F96C305" w14:textId="77777777" w:rsidR="00DD3445" w:rsidRPr="00AA34BE" w:rsidRDefault="00DD3445" w:rsidP="00DD3445">
            <w:pPr>
              <w:jc w:val="right"/>
              <w:rPr>
                <w:rFonts w:cs="Arial"/>
                <w:color w:val="000000" w:themeColor="text1"/>
                <w:sz w:val="16"/>
                <w:szCs w:val="16"/>
              </w:rPr>
            </w:pPr>
            <w:r w:rsidRPr="00AA34BE">
              <w:rPr>
                <w:color w:val="000000" w:themeColor="text1"/>
                <w:sz w:val="16"/>
                <w:szCs w:val="16"/>
              </w:rPr>
              <w:t>2018</w:t>
            </w:r>
          </w:p>
        </w:tc>
        <w:tc>
          <w:tcPr>
            <w:tcW w:w="552" w:type="dxa"/>
            <w:tcBorders>
              <w:top w:val="nil"/>
              <w:left w:val="nil"/>
              <w:bottom w:val="single" w:sz="4" w:space="0" w:color="auto"/>
              <w:right w:val="single" w:sz="4" w:space="0" w:color="auto"/>
            </w:tcBorders>
            <w:shd w:val="clear" w:color="auto" w:fill="auto"/>
            <w:noWrap/>
            <w:hideMark/>
          </w:tcPr>
          <w:p w14:paraId="65C46E41" w14:textId="77777777" w:rsidR="00DD3445" w:rsidRPr="00AA34BE" w:rsidRDefault="00DD3445" w:rsidP="00DD3445">
            <w:pPr>
              <w:jc w:val="center"/>
              <w:rPr>
                <w:rFonts w:cs="Arial"/>
                <w:color w:val="000000" w:themeColor="text1"/>
                <w:sz w:val="16"/>
                <w:szCs w:val="16"/>
              </w:rPr>
            </w:pPr>
            <w:proofErr w:type="spellStart"/>
            <w:r w:rsidRPr="00AA34BE">
              <w:rPr>
                <w:color w:val="000000" w:themeColor="text1"/>
                <w:sz w:val="16"/>
                <w:szCs w:val="16"/>
                <w:vertAlign w:val="superscript"/>
              </w:rPr>
              <w:t>o</w:t>
            </w:r>
            <w:r w:rsidRPr="00AA34BE">
              <w:rPr>
                <w:color w:val="000000" w:themeColor="text1"/>
                <w:sz w:val="16"/>
                <w:szCs w:val="16"/>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3BC6B2D8" w14:textId="0980B569"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50C7CC47" w14:textId="5F330A60"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BF4A865" w14:textId="1871904C"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3ECF40D" w14:textId="5D1172B4" w:rsidR="00DD3445" w:rsidRPr="00AA34BE" w:rsidRDefault="00DD3445" w:rsidP="00DD3445">
            <w:pPr>
              <w:jc w:val="center"/>
              <w:rPr>
                <w:rFonts w:cs="Arial"/>
                <w:color w:val="000000" w:themeColor="text1"/>
                <w:sz w:val="16"/>
                <w:szCs w:val="16"/>
              </w:rPr>
            </w:pPr>
            <w:proofErr w:type="spellStart"/>
            <w:r w:rsidRPr="00E17836">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045B4389" w14:textId="39B46664" w:rsidR="00DD3445" w:rsidRPr="00AA34BE" w:rsidRDefault="00DD3445" w:rsidP="00DD3445">
            <w:pPr>
              <w:jc w:val="center"/>
              <w:rPr>
                <w:rFonts w:cs="Arial"/>
                <w:color w:val="000000" w:themeColor="text1"/>
                <w:sz w:val="16"/>
                <w:szCs w:val="16"/>
              </w:rPr>
            </w:pPr>
            <w:proofErr w:type="spellStart"/>
            <w:r w:rsidRPr="00537C42">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3C3A83B6" w14:textId="2E421328" w:rsidR="00DD3445" w:rsidRPr="00AA34BE" w:rsidRDefault="00DD3445" w:rsidP="00DD3445">
            <w:pPr>
              <w:jc w:val="center"/>
              <w:rPr>
                <w:rFonts w:cs="Arial"/>
                <w:color w:val="000000" w:themeColor="text1"/>
                <w:sz w:val="16"/>
                <w:szCs w:val="16"/>
              </w:rPr>
            </w:pPr>
            <w:proofErr w:type="spellStart"/>
            <w:r w:rsidRPr="00537C42">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2BDBA5A6" w14:textId="01564EEF" w:rsidR="00DD3445" w:rsidRPr="00AA34BE" w:rsidRDefault="00DD3445" w:rsidP="00DD3445">
            <w:pPr>
              <w:jc w:val="center"/>
              <w:rPr>
                <w:rFonts w:cs="Arial"/>
                <w:color w:val="000000" w:themeColor="text1"/>
                <w:sz w:val="16"/>
                <w:szCs w:val="16"/>
              </w:rPr>
            </w:pPr>
            <w:proofErr w:type="spellStart"/>
            <w:r w:rsidRPr="00537C42">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246EA48D" w14:textId="23E921D3" w:rsidR="00DD3445" w:rsidRPr="00AA34BE" w:rsidRDefault="00DD3445" w:rsidP="00DD3445">
            <w:pPr>
              <w:jc w:val="center"/>
              <w:rPr>
                <w:rFonts w:cs="Arial"/>
                <w:color w:val="000000" w:themeColor="text1"/>
                <w:sz w:val="16"/>
                <w:szCs w:val="16"/>
              </w:rPr>
            </w:pPr>
            <w:proofErr w:type="spellStart"/>
            <w:r w:rsidRPr="00537C42">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43AB877E" w14:textId="7D0193AF" w:rsidR="00DD3445" w:rsidRPr="00AA34BE" w:rsidRDefault="00DD3445" w:rsidP="00DD3445">
            <w:pPr>
              <w:jc w:val="center"/>
              <w:rPr>
                <w:rFonts w:cs="Arial"/>
                <w:color w:val="000000" w:themeColor="text1"/>
                <w:sz w:val="16"/>
                <w:szCs w:val="16"/>
              </w:rPr>
            </w:pPr>
            <w:proofErr w:type="spellStart"/>
            <w:r w:rsidRPr="00537C42">
              <w:rPr>
                <w:color w:val="000000" w:themeColor="text1"/>
                <w:sz w:val="16"/>
                <w:szCs w:val="16"/>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2679D78C" w14:textId="75B4B5B2"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2B4EE97B" w14:textId="726927C4"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0D5FE270" w14:textId="1CAF3A84"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327E927E" w14:textId="511C415D" w:rsidR="00DD3445" w:rsidRPr="00AA34BE" w:rsidRDefault="00DD3445" w:rsidP="00DD3445">
            <w:pPr>
              <w:jc w:val="center"/>
              <w:rPr>
                <w:rFonts w:cs="Arial"/>
                <w:color w:val="000000" w:themeColor="text1"/>
                <w:sz w:val="16"/>
                <w:szCs w:val="16"/>
              </w:rPr>
            </w:pPr>
            <w:proofErr w:type="spellStart"/>
            <w:r w:rsidRPr="008900AA">
              <w:rPr>
                <w:color w:val="000000" w:themeColor="text1"/>
                <w:sz w:val="16"/>
                <w:szCs w:val="16"/>
                <w:lang w:val="en-US"/>
              </w:rPr>
              <w:t>xx.x</w:t>
            </w:r>
            <w:proofErr w:type="spellEnd"/>
          </w:p>
        </w:tc>
      </w:tr>
    </w:tbl>
    <w:p w14:paraId="2FF13136" w14:textId="77777777" w:rsidR="00D923BB" w:rsidRPr="00AA34BE" w:rsidRDefault="00D923BB" w:rsidP="00D923BB">
      <w:pPr>
        <w:spacing w:line="240" w:lineRule="exact"/>
        <w:ind w:left="709"/>
        <w:jc w:val="both"/>
        <w:rPr>
          <w:rFonts w:cs="Arial"/>
          <w:bCs/>
          <w:color w:val="000000" w:themeColor="text1"/>
          <w:sz w:val="20"/>
          <w:szCs w:val="20"/>
          <w:lang w:val="en-US"/>
        </w:rPr>
      </w:pPr>
    </w:p>
    <w:p w14:paraId="52F9A07C" w14:textId="77777777"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Въз основа на представеното сравнение е видно, че прогнозата за новия ценови период е направена при външни температури, характерни за района на гр. Пловдив.</w:t>
      </w:r>
    </w:p>
    <w:p w14:paraId="4D8E93E8" w14:textId="77777777" w:rsidR="00D923BB" w:rsidRPr="00AA34BE" w:rsidRDefault="00D923BB" w:rsidP="00D923BB">
      <w:pPr>
        <w:spacing w:line="240" w:lineRule="exact"/>
        <w:ind w:left="709"/>
        <w:jc w:val="both"/>
        <w:rPr>
          <w:rFonts w:cs="Arial"/>
          <w:bCs/>
          <w:color w:val="000000" w:themeColor="text1"/>
        </w:rPr>
      </w:pPr>
    </w:p>
    <w:p w14:paraId="71CD0378" w14:textId="77777777"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Продадената топлинна енергия през  202</w:t>
      </w:r>
      <w:r w:rsidRPr="00AA34BE">
        <w:rPr>
          <w:rFonts w:cs="Arial"/>
          <w:bCs/>
          <w:color w:val="000000" w:themeColor="text1"/>
          <w:lang w:val="en-US"/>
        </w:rPr>
        <w:t>3</w:t>
      </w:r>
      <w:r w:rsidRPr="00AA34BE">
        <w:rPr>
          <w:rFonts w:cs="Arial"/>
          <w:bCs/>
          <w:color w:val="000000" w:themeColor="text1"/>
        </w:rPr>
        <w:t xml:space="preserve"> г. е по-малко спрямо очакванията поради:</w:t>
      </w:r>
    </w:p>
    <w:p w14:paraId="610B0AC7" w14:textId="77777777" w:rsidR="00D923BB" w:rsidRPr="00AA34BE" w:rsidRDefault="00D923BB" w:rsidP="00D923BB">
      <w:pPr>
        <w:pStyle w:val="ListParagraph"/>
        <w:numPr>
          <w:ilvl w:val="0"/>
          <w:numId w:val="35"/>
        </w:numPr>
        <w:spacing w:line="240" w:lineRule="exact"/>
        <w:jc w:val="both"/>
        <w:rPr>
          <w:rFonts w:ascii="Frutiger Next for EVN Light" w:hAnsi="Frutiger Next for EVN Light" w:cs="Arial"/>
          <w:bCs/>
          <w:color w:val="000000" w:themeColor="text1"/>
          <w:sz w:val="19"/>
          <w:szCs w:val="19"/>
        </w:rPr>
      </w:pPr>
      <w:proofErr w:type="spellStart"/>
      <w:r w:rsidRPr="00AA34BE">
        <w:rPr>
          <w:rFonts w:ascii="Frutiger Next for EVN Light" w:hAnsi="Frutiger Next for EVN Light" w:cs="Arial"/>
          <w:bCs/>
          <w:color w:val="000000" w:themeColor="text1"/>
          <w:sz w:val="19"/>
          <w:szCs w:val="19"/>
        </w:rPr>
        <w:t>по-високи</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температури</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през</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месеците</w:t>
      </w:r>
      <w:proofErr w:type="spellEnd"/>
      <w:r w:rsidRPr="00AA34BE">
        <w:rPr>
          <w:rFonts w:ascii="Frutiger Next for EVN Light" w:hAnsi="Frutiger Next for EVN Light" w:cs="Arial"/>
          <w:bCs/>
          <w:color w:val="000000" w:themeColor="text1"/>
          <w:sz w:val="19"/>
          <w:szCs w:val="19"/>
        </w:rPr>
        <w:t xml:space="preserve"> с </w:t>
      </w:r>
      <w:proofErr w:type="spellStart"/>
      <w:r w:rsidRPr="00AA34BE">
        <w:rPr>
          <w:rFonts w:ascii="Frutiger Next for EVN Light" w:hAnsi="Frutiger Next for EVN Light" w:cs="Arial"/>
          <w:bCs/>
          <w:color w:val="000000" w:themeColor="text1"/>
          <w:sz w:val="19"/>
          <w:szCs w:val="19"/>
        </w:rPr>
        <w:t>отопление</w:t>
      </w:r>
      <w:proofErr w:type="spellEnd"/>
      <w:r w:rsidRPr="00AA34BE">
        <w:rPr>
          <w:rFonts w:ascii="Frutiger Next for EVN Light" w:hAnsi="Frutiger Next for EVN Light" w:cs="Arial"/>
          <w:bCs/>
          <w:color w:val="000000" w:themeColor="text1"/>
          <w:sz w:val="19"/>
          <w:szCs w:val="19"/>
        </w:rPr>
        <w:t xml:space="preserve">, </w:t>
      </w:r>
    </w:p>
    <w:p w14:paraId="7FA95B9E" w14:textId="77777777" w:rsidR="00D923BB" w:rsidRPr="00AA34BE" w:rsidRDefault="00D923BB" w:rsidP="00D923BB">
      <w:pPr>
        <w:pStyle w:val="ListParagraph"/>
        <w:numPr>
          <w:ilvl w:val="0"/>
          <w:numId w:val="35"/>
        </w:numPr>
        <w:spacing w:line="240" w:lineRule="exact"/>
        <w:jc w:val="both"/>
        <w:rPr>
          <w:rFonts w:ascii="Frutiger Next for EVN Light" w:hAnsi="Frutiger Next for EVN Light" w:cs="Arial"/>
          <w:bCs/>
          <w:color w:val="000000" w:themeColor="text1"/>
          <w:sz w:val="19"/>
          <w:szCs w:val="19"/>
        </w:rPr>
      </w:pPr>
      <w:proofErr w:type="spellStart"/>
      <w:r w:rsidRPr="00AA34BE">
        <w:rPr>
          <w:rFonts w:ascii="Frutiger Next for EVN Light" w:hAnsi="Frutiger Next for EVN Light" w:cs="Arial"/>
          <w:bCs/>
          <w:color w:val="000000" w:themeColor="text1"/>
          <w:sz w:val="19"/>
          <w:szCs w:val="19"/>
        </w:rPr>
        <w:t>проведени</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ремонтни</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дейности</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по</w:t>
      </w:r>
      <w:proofErr w:type="spellEnd"/>
      <w:r w:rsidRPr="00AA34BE">
        <w:rPr>
          <w:rFonts w:ascii="Frutiger Next for EVN Light" w:hAnsi="Frutiger Next for EVN Light" w:cs="Arial"/>
          <w:bCs/>
          <w:color w:val="000000" w:themeColor="text1"/>
          <w:sz w:val="19"/>
          <w:szCs w:val="19"/>
        </w:rPr>
        <w:t xml:space="preserve"> топлопреносната </w:t>
      </w:r>
      <w:proofErr w:type="spellStart"/>
      <w:r w:rsidRPr="00AA34BE">
        <w:rPr>
          <w:rFonts w:ascii="Frutiger Next for EVN Light" w:hAnsi="Frutiger Next for EVN Light" w:cs="Arial"/>
          <w:bCs/>
          <w:color w:val="000000" w:themeColor="text1"/>
          <w:sz w:val="19"/>
          <w:szCs w:val="19"/>
        </w:rPr>
        <w:t>мрежа</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свързани</w:t>
      </w:r>
      <w:proofErr w:type="spellEnd"/>
      <w:r w:rsidRPr="00AA34BE">
        <w:rPr>
          <w:rFonts w:ascii="Frutiger Next for EVN Light" w:hAnsi="Frutiger Next for EVN Light" w:cs="Arial"/>
          <w:bCs/>
          <w:color w:val="000000" w:themeColor="text1"/>
          <w:sz w:val="19"/>
          <w:szCs w:val="19"/>
        </w:rPr>
        <w:t xml:space="preserve"> с </w:t>
      </w:r>
      <w:proofErr w:type="spellStart"/>
      <w:r w:rsidRPr="00AA34BE">
        <w:rPr>
          <w:rFonts w:ascii="Frutiger Next for EVN Light" w:hAnsi="Frutiger Next for EVN Light" w:cs="Arial"/>
          <w:bCs/>
          <w:color w:val="000000" w:themeColor="text1"/>
          <w:sz w:val="19"/>
          <w:szCs w:val="19"/>
        </w:rPr>
        <w:t>изключване</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на</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потребители</w:t>
      </w:r>
      <w:proofErr w:type="spellEnd"/>
      <w:r w:rsidRPr="00AA34BE">
        <w:rPr>
          <w:rFonts w:ascii="Frutiger Next for EVN Light" w:hAnsi="Frutiger Next for EVN Light" w:cs="Arial"/>
          <w:bCs/>
          <w:color w:val="000000" w:themeColor="text1"/>
          <w:sz w:val="19"/>
          <w:szCs w:val="19"/>
        </w:rPr>
        <w:t>.</w:t>
      </w:r>
    </w:p>
    <w:p w14:paraId="1F2CA8BF" w14:textId="77777777" w:rsidR="00D923BB" w:rsidRPr="00AA34BE" w:rsidRDefault="00D923BB" w:rsidP="00D923BB">
      <w:pPr>
        <w:spacing w:line="240" w:lineRule="exact"/>
        <w:ind w:left="709"/>
        <w:jc w:val="both"/>
        <w:rPr>
          <w:rFonts w:cs="Arial"/>
          <w:bCs/>
          <w:color w:val="000000" w:themeColor="text1"/>
        </w:rPr>
      </w:pPr>
    </w:p>
    <w:p w14:paraId="0F52740B" w14:textId="77777777"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В следствие на изброените по-долу мерки:</w:t>
      </w:r>
    </w:p>
    <w:p w14:paraId="693A7680" w14:textId="77777777" w:rsidR="00D923BB" w:rsidRPr="00AA34BE" w:rsidRDefault="00D923BB" w:rsidP="00D923BB">
      <w:pPr>
        <w:pStyle w:val="ListParagraph"/>
        <w:numPr>
          <w:ilvl w:val="0"/>
          <w:numId w:val="38"/>
        </w:numPr>
        <w:spacing w:line="240" w:lineRule="exact"/>
        <w:jc w:val="both"/>
        <w:rPr>
          <w:rFonts w:ascii="Frutiger Next for EVN Light" w:hAnsi="Frutiger Next for EVN Light" w:cs="Arial"/>
          <w:bCs/>
          <w:color w:val="000000" w:themeColor="text1"/>
          <w:sz w:val="19"/>
          <w:szCs w:val="19"/>
        </w:rPr>
      </w:pPr>
      <w:proofErr w:type="spellStart"/>
      <w:r w:rsidRPr="00AA34BE">
        <w:rPr>
          <w:rFonts w:ascii="Frutiger Next for EVN Light" w:hAnsi="Frutiger Next for EVN Light" w:cs="Arial"/>
          <w:bCs/>
          <w:color w:val="000000" w:themeColor="text1"/>
          <w:sz w:val="19"/>
          <w:szCs w:val="19"/>
        </w:rPr>
        <w:t>активна</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комуникация</w:t>
      </w:r>
      <w:proofErr w:type="spellEnd"/>
      <w:r w:rsidRPr="00AA34BE">
        <w:rPr>
          <w:rFonts w:ascii="Frutiger Next for EVN Light" w:hAnsi="Frutiger Next for EVN Light" w:cs="Arial"/>
          <w:bCs/>
          <w:color w:val="000000" w:themeColor="text1"/>
          <w:sz w:val="19"/>
          <w:szCs w:val="19"/>
        </w:rPr>
        <w:t xml:space="preserve"> с </w:t>
      </w:r>
      <w:proofErr w:type="spellStart"/>
      <w:r w:rsidRPr="00AA34BE">
        <w:rPr>
          <w:rFonts w:ascii="Frutiger Next for EVN Light" w:hAnsi="Frutiger Next for EVN Light" w:cs="Arial"/>
          <w:bCs/>
          <w:color w:val="000000" w:themeColor="text1"/>
          <w:sz w:val="19"/>
          <w:szCs w:val="19"/>
        </w:rPr>
        <w:t>клиентите</w:t>
      </w:r>
      <w:proofErr w:type="spellEnd"/>
      <w:r w:rsidRPr="00AA34BE">
        <w:rPr>
          <w:rFonts w:ascii="Frutiger Next for EVN Light" w:hAnsi="Frutiger Next for EVN Light" w:cs="Arial"/>
          <w:bCs/>
          <w:color w:val="000000" w:themeColor="text1"/>
          <w:sz w:val="19"/>
          <w:szCs w:val="19"/>
        </w:rPr>
        <w:t xml:space="preserve"> и </w:t>
      </w:r>
      <w:proofErr w:type="spellStart"/>
      <w:r w:rsidRPr="00AA34BE">
        <w:rPr>
          <w:rFonts w:ascii="Frutiger Next for EVN Light" w:hAnsi="Frutiger Next for EVN Light" w:cs="Arial"/>
          <w:bCs/>
          <w:color w:val="000000" w:themeColor="text1"/>
          <w:sz w:val="19"/>
          <w:szCs w:val="19"/>
        </w:rPr>
        <w:t>провеждане</w:t>
      </w:r>
      <w:proofErr w:type="spellEnd"/>
      <w:r w:rsidRPr="00AA34BE">
        <w:rPr>
          <w:rFonts w:ascii="Frutiger Next for EVN Light" w:hAnsi="Frutiger Next for EVN Light" w:cs="Arial"/>
          <w:bCs/>
          <w:color w:val="000000" w:themeColor="text1"/>
          <w:sz w:val="19"/>
          <w:szCs w:val="19"/>
          <w:lang w:val="bg-BG"/>
        </w:rPr>
        <w:t xml:space="preserve"> на</w:t>
      </w:r>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кампании</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за</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повишаване</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доверието</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към</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услугата</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централизирано</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топлоснабдяване</w:t>
      </w:r>
      <w:proofErr w:type="spellEnd"/>
      <w:r w:rsidRPr="00AA34BE">
        <w:rPr>
          <w:rFonts w:ascii="Frutiger Next for EVN Light" w:hAnsi="Frutiger Next for EVN Light" w:cs="Arial"/>
          <w:bCs/>
          <w:color w:val="000000" w:themeColor="text1"/>
          <w:sz w:val="19"/>
          <w:szCs w:val="19"/>
          <w:lang w:val="bg-BG"/>
        </w:rPr>
        <w:t>;</w:t>
      </w:r>
    </w:p>
    <w:p w14:paraId="02E108A9" w14:textId="77777777" w:rsidR="00D923BB" w:rsidRPr="00AA34BE" w:rsidRDefault="00D923BB" w:rsidP="00D923BB">
      <w:pPr>
        <w:pStyle w:val="ListParagraph"/>
        <w:numPr>
          <w:ilvl w:val="0"/>
          <w:numId w:val="38"/>
        </w:numPr>
        <w:spacing w:line="240" w:lineRule="exact"/>
        <w:jc w:val="both"/>
        <w:rPr>
          <w:rFonts w:ascii="Frutiger Next for EVN Light" w:hAnsi="Frutiger Next for EVN Light" w:cs="Arial"/>
          <w:bCs/>
          <w:color w:val="000000" w:themeColor="text1"/>
          <w:sz w:val="19"/>
          <w:szCs w:val="19"/>
        </w:rPr>
      </w:pPr>
      <w:proofErr w:type="spellStart"/>
      <w:r w:rsidRPr="00AA34BE">
        <w:rPr>
          <w:rFonts w:ascii="Frutiger Next for EVN Light" w:hAnsi="Frutiger Next for EVN Light" w:cs="Arial"/>
          <w:bCs/>
          <w:color w:val="000000" w:themeColor="text1"/>
          <w:sz w:val="19"/>
          <w:szCs w:val="19"/>
        </w:rPr>
        <w:t>предлагане</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на</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услугата</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охлаждане</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през</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летния</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период</w:t>
      </w:r>
      <w:proofErr w:type="spellEnd"/>
      <w:r w:rsidRPr="00AA34BE">
        <w:rPr>
          <w:rFonts w:ascii="Frutiger Next for EVN Light" w:hAnsi="Frutiger Next for EVN Light" w:cs="Arial"/>
          <w:bCs/>
          <w:color w:val="000000" w:themeColor="text1"/>
          <w:sz w:val="19"/>
          <w:szCs w:val="19"/>
          <w:lang w:val="bg-BG"/>
        </w:rPr>
        <w:t>;</w:t>
      </w:r>
    </w:p>
    <w:p w14:paraId="0E15EE0D" w14:textId="77777777" w:rsidR="00D923BB" w:rsidRPr="00AA34BE" w:rsidRDefault="00D923BB" w:rsidP="00D923BB">
      <w:pPr>
        <w:pStyle w:val="ListParagraph"/>
        <w:numPr>
          <w:ilvl w:val="0"/>
          <w:numId w:val="38"/>
        </w:numPr>
        <w:spacing w:line="240" w:lineRule="exact"/>
        <w:jc w:val="both"/>
        <w:rPr>
          <w:rFonts w:ascii="Frutiger Next for EVN Light" w:hAnsi="Frutiger Next for EVN Light" w:cs="Arial"/>
          <w:bCs/>
          <w:color w:val="000000" w:themeColor="text1"/>
          <w:sz w:val="19"/>
          <w:szCs w:val="19"/>
        </w:rPr>
      </w:pPr>
      <w:proofErr w:type="spellStart"/>
      <w:r w:rsidRPr="00AA34BE">
        <w:rPr>
          <w:rFonts w:ascii="Frutiger Next for EVN Light" w:hAnsi="Frutiger Next for EVN Light" w:cs="Arial"/>
          <w:bCs/>
          <w:color w:val="000000" w:themeColor="text1"/>
          <w:sz w:val="19"/>
          <w:szCs w:val="19"/>
        </w:rPr>
        <w:t>присъединяване</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към</w:t>
      </w:r>
      <w:proofErr w:type="spellEnd"/>
      <w:r w:rsidRPr="00AA34BE">
        <w:rPr>
          <w:rFonts w:ascii="Frutiger Next for EVN Light" w:hAnsi="Frutiger Next for EVN Light" w:cs="Arial"/>
          <w:bCs/>
          <w:color w:val="000000" w:themeColor="text1"/>
          <w:sz w:val="19"/>
          <w:szCs w:val="19"/>
        </w:rPr>
        <w:t xml:space="preserve"> топлопреносната </w:t>
      </w:r>
      <w:proofErr w:type="spellStart"/>
      <w:r w:rsidRPr="00AA34BE">
        <w:rPr>
          <w:rFonts w:ascii="Frutiger Next for EVN Light" w:hAnsi="Frutiger Next for EVN Light" w:cs="Arial"/>
          <w:bCs/>
          <w:color w:val="000000" w:themeColor="text1"/>
          <w:sz w:val="19"/>
          <w:szCs w:val="19"/>
        </w:rPr>
        <w:t>мрежа</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на</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нови</w:t>
      </w:r>
      <w:proofErr w:type="spellEnd"/>
      <w:r w:rsidRPr="00AA34BE">
        <w:rPr>
          <w:rFonts w:ascii="Frutiger Next for EVN Light" w:hAnsi="Frutiger Next for EVN Light" w:cs="Arial"/>
          <w:bCs/>
          <w:color w:val="000000" w:themeColor="text1"/>
          <w:sz w:val="19"/>
          <w:szCs w:val="19"/>
        </w:rPr>
        <w:t xml:space="preserve"> </w:t>
      </w:r>
      <w:proofErr w:type="spellStart"/>
      <w:r w:rsidRPr="00AA34BE">
        <w:rPr>
          <w:rFonts w:ascii="Frutiger Next for EVN Light" w:hAnsi="Frutiger Next for EVN Light" w:cs="Arial"/>
          <w:bCs/>
          <w:color w:val="000000" w:themeColor="text1"/>
          <w:sz w:val="19"/>
          <w:szCs w:val="19"/>
        </w:rPr>
        <w:t>клиент</w:t>
      </w:r>
      <w:proofErr w:type="spellEnd"/>
      <w:r w:rsidRPr="00AA34BE">
        <w:rPr>
          <w:rFonts w:ascii="Frutiger Next for EVN Light" w:hAnsi="Frutiger Next for EVN Light" w:cs="Arial"/>
          <w:bCs/>
          <w:color w:val="000000" w:themeColor="text1"/>
          <w:sz w:val="19"/>
          <w:szCs w:val="19"/>
          <w:lang w:val="bg-BG"/>
        </w:rPr>
        <w:t>и</w:t>
      </w:r>
    </w:p>
    <w:p w14:paraId="7A5A141B" w14:textId="77777777"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 xml:space="preserve">се очаква увеличение в броя на клиентите на топлина енергия спрямо минали периоди. </w:t>
      </w:r>
    </w:p>
    <w:p w14:paraId="6CC2472B" w14:textId="7AAEFB5F"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Новите сгради, присъединявани към централното топлоснабдяване, се изграждат с използването на нови строителни материали с по-добри енергийни характеристики.</w:t>
      </w:r>
    </w:p>
    <w:p w14:paraId="74312418" w14:textId="4E7591AC"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При част от старите сгради се прилагат мерки за енергийна ефективност, водещи до понижено потребление на топлинна енергия.</w:t>
      </w:r>
    </w:p>
    <w:p w14:paraId="1C42A714" w14:textId="0C618F76"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 xml:space="preserve">Към настоящия етап анализа не води до основание да се очаква значителна промяна на реализацията на топлинна енергия за следващия ценови период.  </w:t>
      </w:r>
    </w:p>
    <w:p w14:paraId="44107592" w14:textId="77777777" w:rsidR="00D923BB" w:rsidRPr="00AA34BE" w:rsidRDefault="00D923BB" w:rsidP="00D923BB">
      <w:pPr>
        <w:spacing w:line="240" w:lineRule="exact"/>
        <w:ind w:left="709"/>
        <w:jc w:val="both"/>
        <w:rPr>
          <w:rFonts w:cs="Arial"/>
          <w:bCs/>
          <w:color w:val="000000" w:themeColor="text1"/>
        </w:rPr>
      </w:pPr>
    </w:p>
    <w:p w14:paraId="467B2A92" w14:textId="08DBAD2C" w:rsidR="00D923BB" w:rsidRPr="00AA34BE" w:rsidRDefault="00D923BB" w:rsidP="00D923BB">
      <w:pPr>
        <w:spacing w:line="240" w:lineRule="exact"/>
        <w:ind w:left="709"/>
        <w:jc w:val="both"/>
        <w:rPr>
          <w:rFonts w:cs="Arial"/>
          <w:b/>
          <w:bCs/>
          <w:color w:val="000000" w:themeColor="text1"/>
        </w:rPr>
      </w:pPr>
    </w:p>
    <w:p w14:paraId="7E1CF648" w14:textId="77777777" w:rsidR="00D923BB" w:rsidRPr="00AA34BE" w:rsidRDefault="00D923BB" w:rsidP="00D923BB">
      <w:pPr>
        <w:pStyle w:val="ListParagraph"/>
        <w:numPr>
          <w:ilvl w:val="0"/>
          <w:numId w:val="22"/>
        </w:numPr>
        <w:spacing w:line="240" w:lineRule="exact"/>
        <w:jc w:val="both"/>
        <w:rPr>
          <w:rFonts w:ascii="Frutiger Next for EVN Light" w:hAnsi="Frutiger Next for EVN Light" w:cs="Arial"/>
          <w:b/>
          <w:bCs/>
          <w:color w:val="000000" w:themeColor="text1"/>
          <w:sz w:val="19"/>
          <w:szCs w:val="19"/>
        </w:rPr>
      </w:pPr>
      <w:proofErr w:type="spellStart"/>
      <w:r w:rsidRPr="00AA34BE">
        <w:rPr>
          <w:rFonts w:ascii="Frutiger Next for EVN Light" w:hAnsi="Frutiger Next for EVN Light" w:cs="Arial"/>
          <w:b/>
          <w:bCs/>
          <w:color w:val="000000" w:themeColor="text1"/>
          <w:sz w:val="19"/>
          <w:szCs w:val="19"/>
        </w:rPr>
        <w:t>Прогноза</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на</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собственото</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потребление</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на</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топлинна</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енергия</w:t>
      </w:r>
      <w:proofErr w:type="spellEnd"/>
      <w:r w:rsidRPr="00AA34BE">
        <w:rPr>
          <w:rFonts w:ascii="Frutiger Next for EVN Light" w:hAnsi="Frutiger Next for EVN Light" w:cs="Arial"/>
          <w:b/>
          <w:bCs/>
          <w:color w:val="000000" w:themeColor="text1"/>
          <w:sz w:val="19"/>
          <w:szCs w:val="19"/>
        </w:rPr>
        <w:t xml:space="preserve"> в </w:t>
      </w:r>
      <w:proofErr w:type="spellStart"/>
      <w:r w:rsidRPr="00AA34BE">
        <w:rPr>
          <w:rFonts w:ascii="Frutiger Next for EVN Light" w:hAnsi="Frutiger Next for EVN Light" w:cs="Arial"/>
          <w:b/>
          <w:bCs/>
          <w:color w:val="000000" w:themeColor="text1"/>
          <w:sz w:val="19"/>
          <w:szCs w:val="19"/>
        </w:rPr>
        <w:t>топлоизточниците</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за</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ценовия</w:t>
      </w:r>
      <w:proofErr w:type="spellEnd"/>
      <w:r w:rsidRPr="00AA34BE">
        <w:rPr>
          <w:rFonts w:ascii="Frutiger Next for EVN Light" w:hAnsi="Frutiger Next for EVN Light" w:cs="Arial"/>
          <w:b/>
          <w:bCs/>
          <w:color w:val="000000" w:themeColor="text1"/>
          <w:sz w:val="19"/>
          <w:szCs w:val="19"/>
        </w:rPr>
        <w:t xml:space="preserve"> </w:t>
      </w:r>
      <w:proofErr w:type="spellStart"/>
      <w:r w:rsidRPr="00AA34BE">
        <w:rPr>
          <w:rFonts w:ascii="Frutiger Next for EVN Light" w:hAnsi="Frutiger Next for EVN Light" w:cs="Arial"/>
          <w:b/>
          <w:bCs/>
          <w:color w:val="000000" w:themeColor="text1"/>
          <w:sz w:val="19"/>
          <w:szCs w:val="19"/>
        </w:rPr>
        <w:t>период</w:t>
      </w:r>
      <w:proofErr w:type="spellEnd"/>
      <w:r w:rsidRPr="00AA34BE">
        <w:rPr>
          <w:rFonts w:ascii="Frutiger Next for EVN Light" w:hAnsi="Frutiger Next for EVN Light" w:cs="Arial"/>
          <w:b/>
          <w:bCs/>
          <w:color w:val="000000" w:themeColor="text1"/>
          <w:sz w:val="19"/>
          <w:szCs w:val="19"/>
        </w:rPr>
        <w:t>.</w:t>
      </w:r>
    </w:p>
    <w:p w14:paraId="382120CB" w14:textId="77777777" w:rsidR="00D923BB" w:rsidRPr="00AA34BE" w:rsidRDefault="00D923BB" w:rsidP="00D923BB">
      <w:pPr>
        <w:pStyle w:val="ListParagraph"/>
        <w:spacing w:line="240" w:lineRule="exact"/>
        <w:ind w:left="1080"/>
        <w:jc w:val="both"/>
        <w:rPr>
          <w:rFonts w:ascii="Frutiger Next for EVN Light" w:hAnsi="Frutiger Next for EVN Light" w:cs="Arial"/>
          <w:b/>
          <w:bCs/>
          <w:color w:val="000000" w:themeColor="text1"/>
          <w:sz w:val="19"/>
          <w:szCs w:val="19"/>
        </w:rPr>
      </w:pPr>
    </w:p>
    <w:p w14:paraId="69F3D04E" w14:textId="77777777"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През 2023 г. ЕВН ТП  е използвала като базова инсталация Когенерацията. По време на ремонтни дейности на Когенерацията и за покриване недостига на топлинна енергия са използвани ОЦ „Пловдив Юг” и ОЦ „Пловдив Север”.</w:t>
      </w:r>
    </w:p>
    <w:p w14:paraId="498B21E4" w14:textId="715BD462"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 xml:space="preserve">Отчетената топлинната енергия за собствени нужди през 2023 г. е общо в размер на </w:t>
      </w:r>
      <w:r w:rsidR="007D36FD">
        <w:rPr>
          <w:rFonts w:cs="Arial"/>
          <w:bCs/>
          <w:color w:val="000000" w:themeColor="text1"/>
          <w:lang w:val="en-US"/>
        </w:rPr>
        <w:t>XX XXX</w:t>
      </w:r>
      <w:r w:rsidRPr="00AA34BE">
        <w:rPr>
          <w:rFonts w:cs="Arial"/>
          <w:bCs/>
          <w:color w:val="000000" w:themeColor="text1"/>
        </w:rPr>
        <w:t xml:space="preserve"> MWh. </w:t>
      </w:r>
    </w:p>
    <w:p w14:paraId="79A014B2" w14:textId="77777777"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 xml:space="preserve">Прогнозата за очакваното собствено потребление на топлинна енергия на топлоизточниците за ценовия период е разработена въз основа на планираната работа по инсталации, целогодишното използване на </w:t>
      </w:r>
      <w:r w:rsidRPr="00AA34BE">
        <w:rPr>
          <w:rFonts w:cs="Arial"/>
          <w:bCs/>
          <w:color w:val="000000" w:themeColor="text1"/>
        </w:rPr>
        <w:lastRenderedPageBreak/>
        <w:t>инсталация Когенерация за комбинирано производство на топлинна и електрическа енергия, съобразно планираните ремонтни дейности и очаквате топлинни товари.</w:t>
      </w:r>
    </w:p>
    <w:p w14:paraId="0D46EDF3" w14:textId="77777777" w:rsidR="00D923BB" w:rsidRPr="00AA34BE" w:rsidRDefault="00D923BB" w:rsidP="00D923BB">
      <w:pPr>
        <w:spacing w:line="240" w:lineRule="exact"/>
        <w:ind w:left="709"/>
        <w:jc w:val="both"/>
        <w:rPr>
          <w:rFonts w:cs="Arial"/>
          <w:bCs/>
          <w:color w:val="000000" w:themeColor="text1"/>
        </w:rPr>
      </w:pPr>
    </w:p>
    <w:p w14:paraId="75232B5C" w14:textId="77777777"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За ценовия период като базова инсталация ще се използва Когенерацията. Предвижда се престой за ремонт с продължителност от 20 календарни дни през месец Май 2024 г. В този период основен топлоизточник се предвижда да бъдат водогрейни котли на площадка ОЦ Юг.</w:t>
      </w:r>
    </w:p>
    <w:p w14:paraId="61436F71" w14:textId="77777777"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Върховият топлинен товар ще се произвежда от водогрейните котли на двете площадки като продължителността и товара ще се определят от климатичните условия.</w:t>
      </w:r>
    </w:p>
    <w:p w14:paraId="7317282D" w14:textId="6A7DA616" w:rsidR="00D923BB" w:rsidRPr="00AA34BE" w:rsidRDefault="00D923BB" w:rsidP="00D923BB">
      <w:pPr>
        <w:spacing w:line="240" w:lineRule="exact"/>
        <w:ind w:left="709"/>
        <w:jc w:val="both"/>
        <w:rPr>
          <w:rFonts w:cs="Arial"/>
          <w:bCs/>
          <w:color w:val="000000" w:themeColor="text1"/>
        </w:rPr>
      </w:pPr>
      <w:r w:rsidRPr="00AA34BE">
        <w:rPr>
          <w:rFonts w:cs="Arial"/>
          <w:bCs/>
          <w:color w:val="000000" w:themeColor="text1"/>
        </w:rPr>
        <w:t xml:space="preserve">Общата продължителност на работа на всички водогрейни котли се очаква да бъде </w:t>
      </w:r>
      <w:r w:rsidR="007D36FD">
        <w:rPr>
          <w:rFonts w:cs="Arial"/>
          <w:bCs/>
          <w:color w:val="000000" w:themeColor="text1"/>
          <w:lang w:val="en-US"/>
        </w:rPr>
        <w:t>X</w:t>
      </w:r>
      <w:r w:rsidRPr="00AA34BE">
        <w:rPr>
          <w:rFonts w:cs="Arial"/>
          <w:bCs/>
          <w:color w:val="000000" w:themeColor="text1"/>
        </w:rPr>
        <w:t xml:space="preserve"> </w:t>
      </w:r>
      <w:r w:rsidR="007D36FD">
        <w:rPr>
          <w:rFonts w:cs="Arial"/>
          <w:bCs/>
          <w:color w:val="000000" w:themeColor="text1"/>
          <w:lang w:val="en-US"/>
        </w:rPr>
        <w:t>XXX</w:t>
      </w:r>
      <w:r w:rsidRPr="00AA34BE">
        <w:rPr>
          <w:rFonts w:cs="Arial"/>
          <w:bCs/>
          <w:color w:val="000000" w:themeColor="text1"/>
        </w:rPr>
        <w:t xml:space="preserve"> ч.</w:t>
      </w:r>
    </w:p>
    <w:p w14:paraId="5A6D364A" w14:textId="77777777" w:rsidR="00D923BB" w:rsidRPr="00AA34BE" w:rsidRDefault="00D923BB" w:rsidP="00D923BB">
      <w:pPr>
        <w:spacing w:line="240" w:lineRule="exact"/>
        <w:ind w:left="709"/>
        <w:jc w:val="both"/>
        <w:rPr>
          <w:rFonts w:cs="Arial"/>
          <w:bCs/>
          <w:color w:val="000000" w:themeColor="text1"/>
          <w:sz w:val="20"/>
          <w:szCs w:val="20"/>
        </w:rPr>
      </w:pPr>
    </w:p>
    <w:p w14:paraId="2AC89D1C" w14:textId="253811C1" w:rsidR="00D923BB" w:rsidRPr="00AA34BE" w:rsidRDefault="00D923BB" w:rsidP="00D923BB">
      <w:pPr>
        <w:spacing w:line="240" w:lineRule="exact"/>
        <w:ind w:left="709"/>
        <w:jc w:val="both"/>
        <w:rPr>
          <w:rFonts w:cs="Arial"/>
          <w:bCs/>
          <w:color w:val="000000" w:themeColor="text1"/>
          <w:sz w:val="20"/>
          <w:szCs w:val="20"/>
        </w:rPr>
      </w:pPr>
      <w:r w:rsidRPr="00AA34BE">
        <w:rPr>
          <w:rFonts w:cs="Arial"/>
          <w:bCs/>
          <w:color w:val="000000" w:themeColor="text1"/>
          <w:sz w:val="20"/>
          <w:szCs w:val="20"/>
        </w:rPr>
        <w:t xml:space="preserve">За ценовия период топлинната енергия за собствени нужди е планирана в размер на </w:t>
      </w:r>
      <w:r w:rsidR="007D36FD">
        <w:rPr>
          <w:rFonts w:cs="Arial"/>
          <w:bCs/>
          <w:color w:val="000000" w:themeColor="text1"/>
          <w:sz w:val="20"/>
          <w:szCs w:val="20"/>
          <w:lang w:val="en-US"/>
        </w:rPr>
        <w:t>XX XXX</w:t>
      </w:r>
      <w:r w:rsidRPr="00AA34BE">
        <w:rPr>
          <w:rFonts w:cs="Arial"/>
          <w:bCs/>
          <w:color w:val="000000" w:themeColor="text1"/>
          <w:sz w:val="20"/>
          <w:szCs w:val="20"/>
        </w:rPr>
        <w:t xml:space="preserve"> MWh.</w:t>
      </w:r>
    </w:p>
    <w:p w14:paraId="6D40080C" w14:textId="7ABC0079" w:rsidR="00D923BB" w:rsidRPr="00AA34BE" w:rsidRDefault="00D923BB" w:rsidP="00D923BB">
      <w:pPr>
        <w:spacing w:line="240" w:lineRule="exact"/>
        <w:ind w:left="709"/>
        <w:jc w:val="both"/>
        <w:rPr>
          <w:rFonts w:cs="Arial"/>
          <w:bCs/>
          <w:color w:val="000000" w:themeColor="text1"/>
          <w:sz w:val="20"/>
          <w:szCs w:val="20"/>
        </w:rPr>
      </w:pPr>
      <w:r w:rsidRPr="00AA34BE">
        <w:rPr>
          <w:rFonts w:cs="Arial"/>
          <w:bCs/>
          <w:color w:val="000000" w:themeColor="text1"/>
          <w:sz w:val="20"/>
          <w:szCs w:val="20"/>
        </w:rPr>
        <w:t xml:space="preserve">Планираното понижение със </w:t>
      </w:r>
      <w:r w:rsidR="007D36FD">
        <w:rPr>
          <w:rFonts w:cs="Arial"/>
          <w:bCs/>
          <w:color w:val="000000" w:themeColor="text1"/>
          <w:sz w:val="20"/>
          <w:szCs w:val="20"/>
          <w:lang w:val="en-US"/>
        </w:rPr>
        <w:t>XX</w:t>
      </w:r>
      <w:r w:rsidRPr="00AA34BE">
        <w:rPr>
          <w:rFonts w:cs="Arial"/>
          <w:bCs/>
          <w:color w:val="000000" w:themeColor="text1"/>
          <w:sz w:val="20"/>
          <w:szCs w:val="20"/>
        </w:rPr>
        <w:t xml:space="preserve"> MWh се дължи на очаквания по-малък период на използване на инсталация Когенерация, предвид предвидените ремонтни дейности.</w:t>
      </w:r>
    </w:p>
    <w:p w14:paraId="4C819C22" w14:textId="77777777" w:rsidR="00D923BB" w:rsidRPr="00AA34BE" w:rsidRDefault="00D923BB" w:rsidP="00D923BB">
      <w:pPr>
        <w:pStyle w:val="Heading2"/>
        <w:keepLines w:val="0"/>
        <w:numPr>
          <w:ilvl w:val="1"/>
          <w:numId w:val="12"/>
        </w:numPr>
        <w:tabs>
          <w:tab w:val="clear" w:pos="567"/>
        </w:tabs>
        <w:spacing w:before="240" w:line="240" w:lineRule="auto"/>
        <w:rPr>
          <w:color w:val="000000" w:themeColor="text1"/>
        </w:rPr>
      </w:pPr>
      <w:bookmarkStart w:id="3" w:name="_Hlk114210188"/>
      <w:r w:rsidRPr="00AA34BE">
        <w:rPr>
          <w:color w:val="000000" w:themeColor="text1"/>
        </w:rPr>
        <w:t>Прогнозни количества топлинна енергия за технологични разходи</w:t>
      </w:r>
    </w:p>
    <w:bookmarkEnd w:id="3"/>
    <w:p w14:paraId="234FB439" w14:textId="77777777" w:rsidR="00D923BB" w:rsidRPr="00AA34BE" w:rsidRDefault="00D923BB" w:rsidP="00D923BB">
      <w:pPr>
        <w:spacing w:line="240" w:lineRule="auto"/>
        <w:rPr>
          <w:rFonts w:cs="Arial"/>
          <w:color w:val="000000" w:themeColor="text1"/>
        </w:rPr>
      </w:pPr>
    </w:p>
    <w:p w14:paraId="43C1A973" w14:textId="77777777" w:rsidR="00D923BB" w:rsidRPr="00AA34BE" w:rsidRDefault="00D923BB" w:rsidP="00D923BB">
      <w:pPr>
        <w:spacing w:before="60" w:after="60" w:line="240" w:lineRule="auto"/>
        <w:ind w:left="709"/>
        <w:rPr>
          <w:rFonts w:cs="Arial"/>
          <w:color w:val="000000" w:themeColor="text1"/>
        </w:rPr>
      </w:pPr>
      <w:bookmarkStart w:id="4" w:name="_Hlk114210344"/>
      <w:r w:rsidRPr="00AA34BE">
        <w:rPr>
          <w:rFonts w:cs="Arial"/>
          <w:color w:val="000000" w:themeColor="text1"/>
        </w:rPr>
        <w:t>Топлопреносната мрежа на «ЕВН България Топлофикация» ЕАД е поетапно изграждана и въвеждана в експлоатация в интервала от 1969 г. до настоящия момент.</w:t>
      </w:r>
    </w:p>
    <w:p w14:paraId="778E8A33" w14:textId="77777777" w:rsidR="00D923BB" w:rsidRPr="00AA34BE" w:rsidRDefault="00D923BB" w:rsidP="00D923BB">
      <w:pPr>
        <w:spacing w:before="60" w:after="60" w:line="240" w:lineRule="auto"/>
        <w:ind w:left="709"/>
        <w:rPr>
          <w:rFonts w:cs="Arial"/>
          <w:color w:val="000000" w:themeColor="text1"/>
        </w:rPr>
      </w:pPr>
      <w:r w:rsidRPr="00AA34BE">
        <w:rPr>
          <w:rFonts w:cs="Arial"/>
          <w:color w:val="000000" w:themeColor="text1"/>
        </w:rPr>
        <w:t>От 1978г. започва въвеждане в експлоатация на водната топлопреноса мрежа за отопление и битово горещо водоснабдяване на сгради от север</w:t>
      </w:r>
      <w:r w:rsidRPr="00AA34BE">
        <w:rPr>
          <w:rFonts w:cs="Arial"/>
          <w:color w:val="000000" w:themeColor="text1"/>
          <w:lang w:val="en-US"/>
        </w:rPr>
        <w:t>e</w:t>
      </w:r>
      <w:r w:rsidRPr="00AA34BE">
        <w:rPr>
          <w:rFonts w:cs="Arial"/>
          <w:color w:val="000000" w:themeColor="text1"/>
        </w:rPr>
        <w:t xml:space="preserve">н, централен, източен и западен райони на град Пловдив, а от 1982 г. започва въвеждане в експлоатация на сгради от  южния топлофикационен район на Пловдив. </w:t>
      </w:r>
    </w:p>
    <w:p w14:paraId="3258B62C" w14:textId="77777777" w:rsidR="00D923BB" w:rsidRPr="00AA34BE" w:rsidRDefault="00D923BB" w:rsidP="00D923BB">
      <w:pPr>
        <w:spacing w:before="60" w:after="60" w:line="240" w:lineRule="auto"/>
        <w:ind w:left="709"/>
        <w:rPr>
          <w:rFonts w:cs="Arial"/>
          <w:color w:val="000000" w:themeColor="text1"/>
        </w:rPr>
      </w:pPr>
      <w:r w:rsidRPr="00AA34BE">
        <w:rPr>
          <w:rFonts w:cs="Arial"/>
          <w:color w:val="000000" w:themeColor="text1"/>
        </w:rPr>
        <w:t>Топлопреносната мрежа на „ЕВН България Топлофикация“ ЕАД е двутръбна, затворена, кръгова, положена предимно в непроходими канали.</w:t>
      </w:r>
    </w:p>
    <w:p w14:paraId="10518257" w14:textId="77777777" w:rsidR="00D923BB" w:rsidRPr="00AA34BE" w:rsidRDefault="00D923BB" w:rsidP="00D923BB">
      <w:pPr>
        <w:spacing w:before="60" w:after="60" w:line="240" w:lineRule="auto"/>
        <w:ind w:left="709"/>
        <w:rPr>
          <w:rFonts w:cs="Arial"/>
          <w:color w:val="000000" w:themeColor="text1"/>
        </w:rPr>
      </w:pPr>
    </w:p>
    <w:p w14:paraId="2201FA9B" w14:textId="77777777" w:rsidR="00D923BB" w:rsidRPr="00AA34BE" w:rsidRDefault="00D923BB" w:rsidP="00D923BB">
      <w:pPr>
        <w:spacing w:before="60" w:after="60" w:line="240" w:lineRule="auto"/>
        <w:ind w:left="709"/>
        <w:rPr>
          <w:rFonts w:cs="Arial"/>
          <w:color w:val="000000" w:themeColor="text1"/>
        </w:rPr>
      </w:pPr>
      <w:r w:rsidRPr="00AA34BE">
        <w:rPr>
          <w:rFonts w:cs="Arial"/>
          <w:color w:val="000000" w:themeColor="text1"/>
        </w:rPr>
        <w:t>За определяне количествата на топлинна енергия за технологични разходи по преноса е направен анализ на изменението на реалните отчетени стойности за последните 6 ценови години</w:t>
      </w:r>
      <w:bookmarkEnd w:id="4"/>
      <w:r w:rsidRPr="00AA34BE">
        <w:rPr>
          <w:rFonts w:cs="Arial"/>
          <w:color w:val="000000" w:themeColor="text1"/>
        </w:rPr>
        <w:t xml:space="preserve"> и на усилията на ЕВН ТР за намаляването им. Представяме резултатите от анализа с графики във фигури 1, 2 и 3 по- долу. </w:t>
      </w:r>
    </w:p>
    <w:p w14:paraId="40F7CC39" w14:textId="77777777" w:rsidR="00D923BB" w:rsidRPr="00AA34BE" w:rsidRDefault="00D923BB" w:rsidP="00D923BB">
      <w:pPr>
        <w:spacing w:before="60" w:after="60" w:line="240" w:lineRule="auto"/>
        <w:ind w:left="709"/>
        <w:rPr>
          <w:rFonts w:cs="Arial"/>
          <w:color w:val="000000" w:themeColor="text1"/>
        </w:rPr>
      </w:pPr>
      <w:r w:rsidRPr="00AA34BE">
        <w:rPr>
          <w:rFonts w:cs="Arial"/>
          <w:b/>
          <w:color w:val="000000" w:themeColor="text1"/>
        </w:rPr>
        <w:t>Фигура 1</w:t>
      </w:r>
      <w:r w:rsidRPr="00AA34BE">
        <w:rPr>
          <w:rFonts w:cs="Arial"/>
          <w:color w:val="000000" w:themeColor="text1"/>
        </w:rPr>
        <w:t xml:space="preserve"> – В стълбовидна графика са представени </w:t>
      </w:r>
      <w:bookmarkStart w:id="5" w:name="_Hlk114210474"/>
      <w:r w:rsidRPr="00AA34BE">
        <w:rPr>
          <w:rFonts w:cs="Arial"/>
          <w:color w:val="000000" w:themeColor="text1"/>
        </w:rPr>
        <w:t xml:space="preserve">отчетените стойности на технологичните разходи на топлинна енергия </w:t>
      </w:r>
      <w:bookmarkEnd w:id="5"/>
      <w:r w:rsidRPr="00AA34BE">
        <w:rPr>
          <w:rFonts w:cs="Arial"/>
          <w:color w:val="000000" w:themeColor="text1"/>
        </w:rPr>
        <w:t>за пренос за ценовите години, визуализирани като сума от:</w:t>
      </w:r>
    </w:p>
    <w:p w14:paraId="7D627E38" w14:textId="77777777" w:rsidR="00D923BB" w:rsidRPr="00AA34BE" w:rsidRDefault="00D923BB" w:rsidP="00D923BB">
      <w:pPr>
        <w:numPr>
          <w:ilvl w:val="0"/>
          <w:numId w:val="30"/>
        </w:numPr>
        <w:spacing w:before="60" w:after="60" w:line="240" w:lineRule="auto"/>
        <w:ind w:left="709"/>
        <w:rPr>
          <w:rFonts w:cs="Arial"/>
          <w:color w:val="000000" w:themeColor="text1"/>
        </w:rPr>
      </w:pPr>
      <w:r w:rsidRPr="00AA34BE">
        <w:rPr>
          <w:rFonts w:cs="Arial"/>
          <w:color w:val="000000" w:themeColor="text1"/>
        </w:rPr>
        <w:t>Технологичен разход на топлинна енергия от изтичане на топлоносител от водната топлопреносна мрежа</w:t>
      </w:r>
    </w:p>
    <w:p w14:paraId="4691308A" w14:textId="782B0CA1" w:rsidR="00D923BB" w:rsidRPr="00AA34BE" w:rsidRDefault="00D923BB" w:rsidP="00D923BB">
      <w:pPr>
        <w:numPr>
          <w:ilvl w:val="0"/>
          <w:numId w:val="30"/>
        </w:numPr>
        <w:spacing w:before="60" w:after="60" w:line="240" w:lineRule="auto"/>
        <w:ind w:left="709" w:hanging="357"/>
        <w:rPr>
          <w:rFonts w:cs="Arial"/>
          <w:color w:val="000000" w:themeColor="text1"/>
        </w:rPr>
      </w:pPr>
      <w:r w:rsidRPr="00AA34BE">
        <w:rPr>
          <w:rFonts w:cs="Arial"/>
          <w:color w:val="000000" w:themeColor="text1"/>
        </w:rPr>
        <w:t>Технологичен разход на топлинна енергия в абонатни станции;</w:t>
      </w:r>
    </w:p>
    <w:p w14:paraId="4B000442" w14:textId="725CF999" w:rsidR="00D923BB" w:rsidRPr="00AA34BE" w:rsidRDefault="00D923BB" w:rsidP="00D923BB">
      <w:pPr>
        <w:numPr>
          <w:ilvl w:val="0"/>
          <w:numId w:val="30"/>
        </w:numPr>
        <w:spacing w:before="60" w:after="60" w:line="240" w:lineRule="auto"/>
        <w:ind w:left="709" w:hanging="357"/>
        <w:rPr>
          <w:rFonts w:cs="Arial"/>
          <w:color w:val="000000" w:themeColor="text1"/>
        </w:rPr>
      </w:pPr>
      <w:r w:rsidRPr="00AA34BE">
        <w:rPr>
          <w:rFonts w:cs="Arial"/>
          <w:color w:val="000000" w:themeColor="text1"/>
        </w:rPr>
        <w:t>Технологичен разход на топлинна енергия от топлоотдаване на топлопроводите и съоръженията към тях.</w:t>
      </w:r>
    </w:p>
    <w:p w14:paraId="5AB047EB" w14:textId="449ED760" w:rsidR="00D923BB" w:rsidRPr="00AA34BE" w:rsidRDefault="00D923BB" w:rsidP="00D923BB">
      <w:pPr>
        <w:spacing w:before="60" w:after="60" w:line="240" w:lineRule="auto"/>
        <w:ind w:left="709"/>
        <w:rPr>
          <w:rFonts w:cs="Arial"/>
          <w:color w:val="000000" w:themeColor="text1"/>
        </w:rPr>
      </w:pPr>
      <w:r w:rsidRPr="00AA34BE">
        <w:rPr>
          <w:rFonts w:cs="Arial"/>
          <w:color w:val="000000" w:themeColor="text1"/>
        </w:rPr>
        <w:t>Представена е кривата на ежегодно утвърдените от Комисията за енергийно и водно регулиране технологични разходи за преноса на топлинна енергия за „ЕВН България Топлофикация“ ЕАД (ЕВН ТР).</w:t>
      </w:r>
    </w:p>
    <w:p w14:paraId="443FF515" w14:textId="702DD9B4" w:rsidR="00D01798" w:rsidRDefault="00D01798" w:rsidP="00D923BB">
      <w:pPr>
        <w:ind w:left="709"/>
        <w:jc w:val="center"/>
        <w:rPr>
          <w:rFonts w:cs="Arial"/>
          <w:color w:val="000000" w:themeColor="text1"/>
        </w:rPr>
      </w:pPr>
    </w:p>
    <w:p w14:paraId="66264CB1" w14:textId="269068C3" w:rsidR="00D01798" w:rsidRDefault="00D01798" w:rsidP="00D923BB">
      <w:pPr>
        <w:ind w:left="709"/>
        <w:jc w:val="center"/>
        <w:rPr>
          <w:rFonts w:cs="Arial"/>
          <w:color w:val="000000" w:themeColor="text1"/>
        </w:rPr>
      </w:pPr>
      <w:r>
        <w:rPr>
          <w:rFonts w:cs="Arial"/>
          <w:noProof/>
          <w:color w:val="000000" w:themeColor="text1"/>
        </w:rPr>
        <w:drawing>
          <wp:anchor distT="0" distB="0" distL="114300" distR="114300" simplePos="0" relativeHeight="251711488" behindDoc="0" locked="0" layoutInCell="1" allowOverlap="1" wp14:anchorId="322A067A" wp14:editId="305B52B1">
            <wp:simplePos x="0" y="0"/>
            <wp:positionH relativeFrom="column">
              <wp:posOffset>889635</wp:posOffset>
            </wp:positionH>
            <wp:positionV relativeFrom="paragraph">
              <wp:posOffset>11430</wp:posOffset>
            </wp:positionV>
            <wp:extent cx="4399200" cy="2890800"/>
            <wp:effectExtent l="0" t="0" r="1905" b="508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99200" cy="2890800"/>
                    </a:xfrm>
                    <a:prstGeom prst="rect">
                      <a:avLst/>
                    </a:prstGeom>
                    <a:noFill/>
                  </pic:spPr>
                </pic:pic>
              </a:graphicData>
            </a:graphic>
            <wp14:sizeRelH relativeFrom="margin">
              <wp14:pctWidth>0</wp14:pctWidth>
            </wp14:sizeRelH>
            <wp14:sizeRelV relativeFrom="margin">
              <wp14:pctHeight>0</wp14:pctHeight>
            </wp14:sizeRelV>
          </wp:anchor>
        </w:drawing>
      </w:r>
    </w:p>
    <w:p w14:paraId="291EA79A" w14:textId="03C7ED0B" w:rsidR="00D01798" w:rsidRDefault="00D01798" w:rsidP="00D923BB">
      <w:pPr>
        <w:ind w:left="709"/>
        <w:jc w:val="center"/>
        <w:rPr>
          <w:rFonts w:cs="Arial"/>
          <w:color w:val="000000" w:themeColor="text1"/>
        </w:rPr>
      </w:pPr>
    </w:p>
    <w:p w14:paraId="0ECD9B0C" w14:textId="4210DC29" w:rsidR="00D01798" w:rsidRDefault="00D01798" w:rsidP="00D923BB">
      <w:pPr>
        <w:ind w:left="709"/>
        <w:jc w:val="center"/>
        <w:rPr>
          <w:rFonts w:cs="Arial"/>
          <w:color w:val="000000" w:themeColor="text1"/>
        </w:rPr>
      </w:pPr>
    </w:p>
    <w:p w14:paraId="24FDC6DE" w14:textId="0E55BCE0" w:rsidR="00D01798" w:rsidRDefault="00D01798" w:rsidP="00D923BB">
      <w:pPr>
        <w:ind w:left="709"/>
        <w:jc w:val="center"/>
        <w:rPr>
          <w:rFonts w:cs="Arial"/>
          <w:color w:val="000000" w:themeColor="text1"/>
        </w:rPr>
      </w:pPr>
    </w:p>
    <w:p w14:paraId="6EEEEC31" w14:textId="2E358169" w:rsidR="00D01798" w:rsidRDefault="00D01798" w:rsidP="00D923BB">
      <w:pPr>
        <w:ind w:left="709"/>
        <w:jc w:val="center"/>
        <w:rPr>
          <w:rFonts w:cs="Arial"/>
          <w:color w:val="000000" w:themeColor="text1"/>
        </w:rPr>
      </w:pPr>
    </w:p>
    <w:p w14:paraId="05CD794A" w14:textId="77777777" w:rsidR="00D01798" w:rsidRDefault="00D01798" w:rsidP="00D923BB">
      <w:pPr>
        <w:ind w:left="709"/>
        <w:jc w:val="center"/>
        <w:rPr>
          <w:rFonts w:cs="Arial"/>
          <w:color w:val="000000" w:themeColor="text1"/>
        </w:rPr>
      </w:pPr>
    </w:p>
    <w:p w14:paraId="7FA3BDC6" w14:textId="77777777" w:rsidR="00D01798" w:rsidRDefault="00D01798" w:rsidP="00D923BB">
      <w:pPr>
        <w:ind w:left="709"/>
        <w:jc w:val="center"/>
        <w:rPr>
          <w:rFonts w:cs="Arial"/>
          <w:color w:val="000000" w:themeColor="text1"/>
        </w:rPr>
      </w:pPr>
    </w:p>
    <w:p w14:paraId="6DF616B7" w14:textId="77777777" w:rsidR="00D01798" w:rsidRDefault="00D01798" w:rsidP="00D923BB">
      <w:pPr>
        <w:ind w:left="709"/>
        <w:jc w:val="center"/>
        <w:rPr>
          <w:rFonts w:cs="Arial"/>
          <w:color w:val="000000" w:themeColor="text1"/>
        </w:rPr>
      </w:pPr>
    </w:p>
    <w:p w14:paraId="6808A53F" w14:textId="77777777" w:rsidR="00D01798" w:rsidRDefault="00D01798" w:rsidP="00D923BB">
      <w:pPr>
        <w:ind w:left="709"/>
        <w:jc w:val="center"/>
        <w:rPr>
          <w:rFonts w:cs="Arial"/>
          <w:color w:val="000000" w:themeColor="text1"/>
        </w:rPr>
      </w:pPr>
    </w:p>
    <w:p w14:paraId="70339992" w14:textId="77777777" w:rsidR="00D01798" w:rsidRDefault="00D01798" w:rsidP="00D923BB">
      <w:pPr>
        <w:ind w:left="709"/>
        <w:jc w:val="center"/>
        <w:rPr>
          <w:rFonts w:cs="Arial"/>
          <w:color w:val="000000" w:themeColor="text1"/>
        </w:rPr>
      </w:pPr>
    </w:p>
    <w:p w14:paraId="7F54DCAB" w14:textId="77777777" w:rsidR="00D01798" w:rsidRDefault="00D01798" w:rsidP="00D923BB">
      <w:pPr>
        <w:ind w:left="709"/>
        <w:jc w:val="center"/>
        <w:rPr>
          <w:rFonts w:cs="Arial"/>
          <w:color w:val="000000" w:themeColor="text1"/>
        </w:rPr>
      </w:pPr>
    </w:p>
    <w:p w14:paraId="779501D5" w14:textId="77777777" w:rsidR="00D01798" w:rsidRDefault="00D01798" w:rsidP="00D923BB">
      <w:pPr>
        <w:ind w:left="709"/>
        <w:jc w:val="center"/>
        <w:rPr>
          <w:rFonts w:cs="Arial"/>
          <w:color w:val="000000" w:themeColor="text1"/>
        </w:rPr>
      </w:pPr>
    </w:p>
    <w:p w14:paraId="7B238CA4" w14:textId="77777777" w:rsidR="00D01798" w:rsidRDefault="00D01798" w:rsidP="00D923BB">
      <w:pPr>
        <w:ind w:left="709"/>
        <w:jc w:val="center"/>
        <w:rPr>
          <w:rFonts w:cs="Arial"/>
          <w:color w:val="000000" w:themeColor="text1"/>
        </w:rPr>
      </w:pPr>
    </w:p>
    <w:p w14:paraId="6DFEF0C8" w14:textId="77777777" w:rsidR="00D01798" w:rsidRDefault="00D01798" w:rsidP="00D923BB">
      <w:pPr>
        <w:ind w:left="709"/>
        <w:jc w:val="center"/>
        <w:rPr>
          <w:rFonts w:cs="Arial"/>
          <w:color w:val="000000" w:themeColor="text1"/>
        </w:rPr>
      </w:pPr>
    </w:p>
    <w:p w14:paraId="7C790E52" w14:textId="77777777" w:rsidR="00D01798" w:rsidRDefault="00D01798" w:rsidP="00D923BB">
      <w:pPr>
        <w:ind w:left="709"/>
        <w:jc w:val="center"/>
        <w:rPr>
          <w:rFonts w:cs="Arial"/>
          <w:color w:val="000000" w:themeColor="text1"/>
        </w:rPr>
      </w:pPr>
    </w:p>
    <w:p w14:paraId="41217F04" w14:textId="77777777" w:rsidR="00D01798" w:rsidRDefault="00D01798" w:rsidP="00D923BB">
      <w:pPr>
        <w:ind w:left="709"/>
        <w:jc w:val="center"/>
        <w:rPr>
          <w:rFonts w:cs="Arial"/>
          <w:color w:val="000000" w:themeColor="text1"/>
        </w:rPr>
      </w:pPr>
    </w:p>
    <w:p w14:paraId="0EDA18E0" w14:textId="77777777" w:rsidR="00D01798" w:rsidRDefault="00D01798" w:rsidP="00D923BB">
      <w:pPr>
        <w:ind w:left="709"/>
        <w:jc w:val="center"/>
        <w:rPr>
          <w:rFonts w:cs="Arial"/>
          <w:color w:val="000000" w:themeColor="text1"/>
        </w:rPr>
      </w:pPr>
    </w:p>
    <w:p w14:paraId="01A234D7" w14:textId="00EED7EB" w:rsidR="00D01798" w:rsidRPr="00D01798" w:rsidRDefault="00D923BB" w:rsidP="00D01798">
      <w:pPr>
        <w:ind w:left="709"/>
        <w:jc w:val="center"/>
        <w:rPr>
          <w:rFonts w:cs="Arial"/>
          <w:color w:val="000000" w:themeColor="text1"/>
        </w:rPr>
      </w:pPr>
      <w:r w:rsidRPr="00AA34BE">
        <w:rPr>
          <w:rFonts w:cs="Arial"/>
          <w:color w:val="000000" w:themeColor="text1"/>
        </w:rPr>
        <w:t xml:space="preserve">Фиг. </w:t>
      </w:r>
      <w:r w:rsidR="00D01798">
        <w:rPr>
          <w:rFonts w:cs="Arial"/>
          <w:color w:val="000000" w:themeColor="text1"/>
        </w:rPr>
        <w:t>1</w:t>
      </w:r>
    </w:p>
    <w:p w14:paraId="6ABCE87F" w14:textId="5A27B3C3" w:rsidR="00D923BB" w:rsidRPr="00AA34BE" w:rsidRDefault="00D923BB" w:rsidP="00D923BB">
      <w:pPr>
        <w:ind w:left="709"/>
        <w:rPr>
          <w:rFonts w:cs="Arial"/>
          <w:color w:val="000000" w:themeColor="text1"/>
        </w:rPr>
      </w:pPr>
      <w:r w:rsidRPr="00AA34BE">
        <w:rPr>
          <w:rFonts w:cs="Arial"/>
          <w:b/>
          <w:color w:val="000000" w:themeColor="text1"/>
        </w:rPr>
        <w:lastRenderedPageBreak/>
        <w:t>Фигура 2</w:t>
      </w:r>
      <w:r w:rsidRPr="00AA34BE">
        <w:rPr>
          <w:rFonts w:cs="Arial"/>
          <w:color w:val="000000" w:themeColor="text1"/>
        </w:rPr>
        <w:t xml:space="preserve"> – дължина на топлопреносната мрежа на ЕВН ТР и общ брой работещи абонатни станции към края на всяка календарна година</w:t>
      </w:r>
    </w:p>
    <w:p w14:paraId="0159C06F" w14:textId="5D88BFD9" w:rsidR="008D4CFD" w:rsidRDefault="00D01798" w:rsidP="00D923BB">
      <w:pPr>
        <w:ind w:left="709"/>
        <w:jc w:val="center"/>
        <w:rPr>
          <w:rFonts w:cs="Arial"/>
          <w:color w:val="000000" w:themeColor="text1"/>
        </w:rPr>
      </w:pPr>
      <w:r>
        <w:rPr>
          <w:rFonts w:cs="Arial"/>
          <w:noProof/>
          <w:color w:val="000000" w:themeColor="text1"/>
        </w:rPr>
        <w:drawing>
          <wp:anchor distT="0" distB="0" distL="114300" distR="114300" simplePos="0" relativeHeight="251712512" behindDoc="0" locked="0" layoutInCell="1" allowOverlap="1" wp14:anchorId="78925785" wp14:editId="7A18209E">
            <wp:simplePos x="0" y="0"/>
            <wp:positionH relativeFrom="column">
              <wp:posOffset>1089660</wp:posOffset>
            </wp:positionH>
            <wp:positionV relativeFrom="paragraph">
              <wp:posOffset>149225</wp:posOffset>
            </wp:positionV>
            <wp:extent cx="4399200" cy="2307600"/>
            <wp:effectExtent l="0" t="0" r="1905"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99200" cy="2307600"/>
                    </a:xfrm>
                    <a:prstGeom prst="rect">
                      <a:avLst/>
                    </a:prstGeom>
                    <a:noFill/>
                  </pic:spPr>
                </pic:pic>
              </a:graphicData>
            </a:graphic>
            <wp14:sizeRelH relativeFrom="margin">
              <wp14:pctWidth>0</wp14:pctWidth>
            </wp14:sizeRelH>
            <wp14:sizeRelV relativeFrom="margin">
              <wp14:pctHeight>0</wp14:pctHeight>
            </wp14:sizeRelV>
          </wp:anchor>
        </w:drawing>
      </w:r>
    </w:p>
    <w:p w14:paraId="5F396735" w14:textId="4F5E4E2D" w:rsidR="008D4CFD" w:rsidRDefault="008D4CFD" w:rsidP="00D923BB">
      <w:pPr>
        <w:ind w:left="709"/>
        <w:jc w:val="center"/>
        <w:rPr>
          <w:rFonts w:cs="Arial"/>
          <w:color w:val="000000" w:themeColor="text1"/>
        </w:rPr>
      </w:pPr>
    </w:p>
    <w:p w14:paraId="09526090" w14:textId="1E3CAF9F" w:rsidR="008D4CFD" w:rsidRDefault="008D4CFD" w:rsidP="00D923BB">
      <w:pPr>
        <w:ind w:left="709"/>
        <w:jc w:val="center"/>
        <w:rPr>
          <w:rFonts w:cs="Arial"/>
          <w:color w:val="000000" w:themeColor="text1"/>
        </w:rPr>
      </w:pPr>
    </w:p>
    <w:p w14:paraId="4F268885" w14:textId="1668408C" w:rsidR="008D4CFD" w:rsidRDefault="008D4CFD" w:rsidP="00D923BB">
      <w:pPr>
        <w:ind w:left="709"/>
        <w:jc w:val="center"/>
        <w:rPr>
          <w:rFonts w:cs="Arial"/>
          <w:color w:val="000000" w:themeColor="text1"/>
        </w:rPr>
      </w:pPr>
    </w:p>
    <w:p w14:paraId="65652868" w14:textId="4FBB3FBB" w:rsidR="008D4CFD" w:rsidRDefault="008D4CFD" w:rsidP="00D923BB">
      <w:pPr>
        <w:ind w:left="709"/>
        <w:jc w:val="center"/>
        <w:rPr>
          <w:rFonts w:cs="Arial"/>
          <w:color w:val="000000" w:themeColor="text1"/>
        </w:rPr>
      </w:pPr>
    </w:p>
    <w:p w14:paraId="512F11B1" w14:textId="5D38CA77" w:rsidR="008D4CFD" w:rsidRDefault="008D4CFD" w:rsidP="00D923BB">
      <w:pPr>
        <w:ind w:left="709"/>
        <w:jc w:val="center"/>
        <w:rPr>
          <w:rFonts w:cs="Arial"/>
          <w:color w:val="000000" w:themeColor="text1"/>
        </w:rPr>
      </w:pPr>
    </w:p>
    <w:p w14:paraId="7BA600D1" w14:textId="77777777" w:rsidR="008D4CFD" w:rsidRDefault="008D4CFD" w:rsidP="00D923BB">
      <w:pPr>
        <w:ind w:left="709"/>
        <w:jc w:val="center"/>
        <w:rPr>
          <w:rFonts w:cs="Arial"/>
          <w:color w:val="000000" w:themeColor="text1"/>
        </w:rPr>
      </w:pPr>
    </w:p>
    <w:p w14:paraId="32A4C29D" w14:textId="74EA4E6E" w:rsidR="008D4CFD" w:rsidRDefault="008D4CFD" w:rsidP="00D923BB">
      <w:pPr>
        <w:ind w:left="709"/>
        <w:jc w:val="center"/>
        <w:rPr>
          <w:rFonts w:cs="Arial"/>
          <w:color w:val="000000" w:themeColor="text1"/>
        </w:rPr>
      </w:pPr>
    </w:p>
    <w:p w14:paraId="01D6F994" w14:textId="77777777" w:rsidR="008D4CFD" w:rsidRDefault="008D4CFD" w:rsidP="00D923BB">
      <w:pPr>
        <w:ind w:left="709"/>
        <w:jc w:val="center"/>
        <w:rPr>
          <w:rFonts w:cs="Arial"/>
          <w:color w:val="000000" w:themeColor="text1"/>
        </w:rPr>
      </w:pPr>
    </w:p>
    <w:p w14:paraId="11566AC1" w14:textId="6FDB3BD7" w:rsidR="008D4CFD" w:rsidRDefault="008D4CFD" w:rsidP="00D923BB">
      <w:pPr>
        <w:ind w:left="709"/>
        <w:jc w:val="center"/>
        <w:rPr>
          <w:rFonts w:cs="Arial"/>
          <w:color w:val="000000" w:themeColor="text1"/>
        </w:rPr>
      </w:pPr>
    </w:p>
    <w:p w14:paraId="27E8B928" w14:textId="5A4F6EBD" w:rsidR="008D4CFD" w:rsidRDefault="008D4CFD" w:rsidP="00D923BB">
      <w:pPr>
        <w:ind w:left="709"/>
        <w:jc w:val="center"/>
        <w:rPr>
          <w:rFonts w:cs="Arial"/>
          <w:color w:val="000000" w:themeColor="text1"/>
        </w:rPr>
      </w:pPr>
    </w:p>
    <w:p w14:paraId="66E50EA0" w14:textId="44107D92" w:rsidR="008D4CFD" w:rsidRDefault="008D4CFD" w:rsidP="00D923BB">
      <w:pPr>
        <w:ind w:left="709"/>
        <w:jc w:val="center"/>
        <w:rPr>
          <w:rFonts w:cs="Arial"/>
          <w:color w:val="000000" w:themeColor="text1"/>
        </w:rPr>
      </w:pPr>
    </w:p>
    <w:p w14:paraId="4A65289D" w14:textId="58DD5DCA" w:rsidR="008D4CFD" w:rsidRDefault="008D4CFD" w:rsidP="00D923BB">
      <w:pPr>
        <w:ind w:left="709"/>
        <w:jc w:val="center"/>
        <w:rPr>
          <w:rFonts w:cs="Arial"/>
          <w:color w:val="000000" w:themeColor="text1"/>
        </w:rPr>
      </w:pPr>
    </w:p>
    <w:p w14:paraId="459BBEDD" w14:textId="34636979" w:rsidR="008D4CFD" w:rsidRDefault="008D4CFD" w:rsidP="00D923BB">
      <w:pPr>
        <w:ind w:left="709"/>
        <w:jc w:val="center"/>
        <w:rPr>
          <w:rFonts w:cs="Arial"/>
          <w:color w:val="000000" w:themeColor="text1"/>
        </w:rPr>
      </w:pPr>
    </w:p>
    <w:p w14:paraId="6C303F41" w14:textId="6206CFC3" w:rsidR="00D923BB" w:rsidRDefault="00D923BB" w:rsidP="00D923BB">
      <w:pPr>
        <w:ind w:left="709"/>
        <w:jc w:val="center"/>
        <w:rPr>
          <w:rFonts w:cs="Arial"/>
          <w:color w:val="000000" w:themeColor="text1"/>
        </w:rPr>
      </w:pPr>
      <w:r w:rsidRPr="00AA34BE">
        <w:rPr>
          <w:rFonts w:cs="Arial"/>
          <w:color w:val="000000" w:themeColor="text1"/>
        </w:rPr>
        <w:t>Фиг. 2</w:t>
      </w:r>
      <w:r w:rsidR="008D4CFD">
        <w:rPr>
          <w:rFonts w:cs="Arial"/>
          <w:color w:val="000000" w:themeColor="text1"/>
        </w:rPr>
        <w:t>.1.</w:t>
      </w:r>
    </w:p>
    <w:p w14:paraId="27AAD15E" w14:textId="34006F1A" w:rsidR="008D4CFD" w:rsidRDefault="00D01798" w:rsidP="00D923BB">
      <w:pPr>
        <w:ind w:left="709"/>
        <w:jc w:val="center"/>
        <w:rPr>
          <w:rFonts w:cs="Arial"/>
          <w:color w:val="000000" w:themeColor="text1"/>
        </w:rPr>
      </w:pPr>
      <w:r>
        <w:rPr>
          <w:rFonts w:cs="Arial"/>
          <w:noProof/>
          <w:color w:val="000000" w:themeColor="text1"/>
        </w:rPr>
        <w:drawing>
          <wp:anchor distT="0" distB="0" distL="114300" distR="114300" simplePos="0" relativeHeight="251713536" behindDoc="0" locked="0" layoutInCell="1" allowOverlap="1" wp14:anchorId="53A1071B" wp14:editId="15407101">
            <wp:simplePos x="0" y="0"/>
            <wp:positionH relativeFrom="column">
              <wp:posOffset>1080135</wp:posOffset>
            </wp:positionH>
            <wp:positionV relativeFrom="paragraph">
              <wp:posOffset>133985</wp:posOffset>
            </wp:positionV>
            <wp:extent cx="4398645" cy="2307590"/>
            <wp:effectExtent l="0" t="0" r="1905"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98645" cy="2307590"/>
                    </a:xfrm>
                    <a:prstGeom prst="rect">
                      <a:avLst/>
                    </a:prstGeom>
                    <a:noFill/>
                  </pic:spPr>
                </pic:pic>
              </a:graphicData>
            </a:graphic>
          </wp:anchor>
        </w:drawing>
      </w:r>
    </w:p>
    <w:p w14:paraId="2228DB5F" w14:textId="19001A5F" w:rsidR="008D4CFD" w:rsidRPr="00AA34BE" w:rsidRDefault="008D4CFD" w:rsidP="00D923BB">
      <w:pPr>
        <w:ind w:left="709"/>
        <w:jc w:val="center"/>
        <w:rPr>
          <w:rFonts w:cs="Arial"/>
          <w:color w:val="000000" w:themeColor="text1"/>
        </w:rPr>
      </w:pPr>
    </w:p>
    <w:p w14:paraId="11F788C4" w14:textId="57197826" w:rsidR="00D923BB" w:rsidRDefault="00D923BB" w:rsidP="00D923BB">
      <w:pPr>
        <w:ind w:left="709"/>
        <w:jc w:val="center"/>
        <w:rPr>
          <w:rFonts w:cs="Arial"/>
          <w:color w:val="000000" w:themeColor="text1"/>
        </w:rPr>
      </w:pPr>
    </w:p>
    <w:p w14:paraId="064D803E" w14:textId="5909C805" w:rsidR="008D4CFD" w:rsidRDefault="008D4CFD" w:rsidP="00D923BB">
      <w:pPr>
        <w:ind w:left="709"/>
        <w:jc w:val="center"/>
        <w:rPr>
          <w:rFonts w:cs="Arial"/>
          <w:color w:val="000000" w:themeColor="text1"/>
        </w:rPr>
      </w:pPr>
    </w:p>
    <w:p w14:paraId="5EBEA730" w14:textId="77777777" w:rsidR="008D4CFD" w:rsidRDefault="008D4CFD" w:rsidP="00D923BB">
      <w:pPr>
        <w:ind w:left="709"/>
        <w:jc w:val="center"/>
        <w:rPr>
          <w:rFonts w:cs="Arial"/>
          <w:color w:val="000000" w:themeColor="text1"/>
        </w:rPr>
      </w:pPr>
    </w:p>
    <w:p w14:paraId="2E0B1945" w14:textId="77777777" w:rsidR="008D4CFD" w:rsidRDefault="008D4CFD" w:rsidP="00D923BB">
      <w:pPr>
        <w:ind w:left="709"/>
        <w:jc w:val="center"/>
        <w:rPr>
          <w:rFonts w:cs="Arial"/>
          <w:color w:val="000000" w:themeColor="text1"/>
        </w:rPr>
      </w:pPr>
    </w:p>
    <w:p w14:paraId="60E23E3B" w14:textId="77777777" w:rsidR="008D4CFD" w:rsidRDefault="008D4CFD" w:rsidP="00D923BB">
      <w:pPr>
        <w:ind w:left="709"/>
        <w:jc w:val="center"/>
        <w:rPr>
          <w:rFonts w:cs="Arial"/>
          <w:color w:val="000000" w:themeColor="text1"/>
        </w:rPr>
      </w:pPr>
    </w:p>
    <w:p w14:paraId="078A3461" w14:textId="77777777" w:rsidR="008D4CFD" w:rsidRDefault="008D4CFD" w:rsidP="00D923BB">
      <w:pPr>
        <w:ind w:left="709"/>
        <w:jc w:val="center"/>
        <w:rPr>
          <w:rFonts w:cs="Arial"/>
          <w:color w:val="000000" w:themeColor="text1"/>
        </w:rPr>
      </w:pPr>
    </w:p>
    <w:p w14:paraId="3E85A208" w14:textId="73922A4E" w:rsidR="008D4CFD" w:rsidRPr="00AA34BE" w:rsidRDefault="008D4CFD" w:rsidP="00D923BB">
      <w:pPr>
        <w:ind w:left="709"/>
        <w:jc w:val="center"/>
        <w:rPr>
          <w:rFonts w:cs="Arial"/>
          <w:color w:val="000000" w:themeColor="text1"/>
        </w:rPr>
      </w:pPr>
    </w:p>
    <w:p w14:paraId="490CA323" w14:textId="77777777" w:rsidR="00F410F1" w:rsidRDefault="00F410F1" w:rsidP="008D4CFD">
      <w:pPr>
        <w:ind w:left="709"/>
        <w:rPr>
          <w:rFonts w:cs="Arial"/>
          <w:b/>
          <w:color w:val="000000" w:themeColor="text1"/>
        </w:rPr>
      </w:pPr>
    </w:p>
    <w:p w14:paraId="6EEC10B5" w14:textId="73839337" w:rsidR="00F410F1" w:rsidRDefault="00F410F1" w:rsidP="008D4CFD">
      <w:pPr>
        <w:ind w:left="709"/>
        <w:rPr>
          <w:rFonts w:cs="Arial"/>
          <w:b/>
          <w:color w:val="000000" w:themeColor="text1"/>
        </w:rPr>
      </w:pPr>
    </w:p>
    <w:p w14:paraId="3D2574B7" w14:textId="6B556E4B" w:rsidR="00F410F1" w:rsidRDefault="00F410F1" w:rsidP="008D4CFD">
      <w:pPr>
        <w:ind w:left="709"/>
        <w:rPr>
          <w:rFonts w:cs="Arial"/>
          <w:b/>
          <w:color w:val="000000" w:themeColor="text1"/>
        </w:rPr>
      </w:pPr>
    </w:p>
    <w:p w14:paraId="24FA4231" w14:textId="6B6ED981" w:rsidR="00F410F1" w:rsidRDefault="00F410F1" w:rsidP="008D4CFD">
      <w:pPr>
        <w:ind w:left="709"/>
        <w:rPr>
          <w:rFonts w:cs="Arial"/>
          <w:b/>
          <w:color w:val="000000" w:themeColor="text1"/>
        </w:rPr>
      </w:pPr>
    </w:p>
    <w:p w14:paraId="7713659D" w14:textId="359495A8" w:rsidR="00F410F1" w:rsidRDefault="00F410F1" w:rsidP="008D4CFD">
      <w:pPr>
        <w:ind w:left="709"/>
        <w:rPr>
          <w:rFonts w:cs="Arial"/>
          <w:b/>
          <w:color w:val="000000" w:themeColor="text1"/>
        </w:rPr>
      </w:pPr>
    </w:p>
    <w:p w14:paraId="4213AB86" w14:textId="04D42514" w:rsidR="00F410F1" w:rsidRDefault="00F410F1" w:rsidP="00F410F1">
      <w:pPr>
        <w:ind w:left="709"/>
        <w:jc w:val="center"/>
        <w:rPr>
          <w:rFonts w:cs="Arial"/>
          <w:color w:val="000000" w:themeColor="text1"/>
        </w:rPr>
      </w:pPr>
      <w:r w:rsidRPr="00AA34BE">
        <w:rPr>
          <w:rFonts w:cs="Arial"/>
          <w:color w:val="000000" w:themeColor="text1"/>
        </w:rPr>
        <w:t>Фиг. 2</w:t>
      </w:r>
      <w:r>
        <w:rPr>
          <w:rFonts w:cs="Arial"/>
          <w:color w:val="000000" w:themeColor="text1"/>
        </w:rPr>
        <w:t>.2.</w:t>
      </w:r>
    </w:p>
    <w:p w14:paraId="5841C7DC" w14:textId="77777777" w:rsidR="00F410F1" w:rsidRDefault="00F410F1" w:rsidP="008D4CFD">
      <w:pPr>
        <w:ind w:left="709"/>
        <w:rPr>
          <w:rFonts w:cs="Arial"/>
          <w:b/>
          <w:color w:val="000000" w:themeColor="text1"/>
        </w:rPr>
      </w:pPr>
    </w:p>
    <w:p w14:paraId="60468D42" w14:textId="5EDAB592" w:rsidR="00D923BB" w:rsidRDefault="00D923BB" w:rsidP="008D4CFD">
      <w:pPr>
        <w:ind w:left="709"/>
        <w:rPr>
          <w:rFonts w:cs="Arial"/>
          <w:color w:val="000000" w:themeColor="text1"/>
        </w:rPr>
      </w:pPr>
      <w:r w:rsidRPr="00AA34BE">
        <w:rPr>
          <w:rFonts w:cs="Arial"/>
          <w:b/>
          <w:color w:val="000000" w:themeColor="text1"/>
        </w:rPr>
        <w:t>Фигура 3</w:t>
      </w:r>
      <w:r w:rsidRPr="008D4CFD">
        <w:rPr>
          <w:rFonts w:cs="Arial"/>
          <w:b/>
          <w:color w:val="000000" w:themeColor="text1"/>
        </w:rPr>
        <w:t xml:space="preserve"> – </w:t>
      </w:r>
      <w:r w:rsidRPr="008D4CFD">
        <w:rPr>
          <w:rFonts w:cs="Arial"/>
          <w:color w:val="000000" w:themeColor="text1"/>
        </w:rPr>
        <w:t xml:space="preserve">Представени са кривите, които показват изменението през ценовите години на реално постигнатите относителни дялове на технологичните разходи за преноса на топлинна енергия спрямо утвърдените от КЕВР  размери. Забелязва се съществената разлика между реално постигнатите технологични разходи и одобрените от Комисията. </w:t>
      </w:r>
    </w:p>
    <w:p w14:paraId="61D1D880" w14:textId="515ED935" w:rsidR="00AF2818" w:rsidRDefault="00AF2818" w:rsidP="008D4CFD">
      <w:pPr>
        <w:ind w:left="709"/>
        <w:rPr>
          <w:rFonts w:cs="Arial"/>
          <w:color w:val="000000" w:themeColor="text1"/>
        </w:rPr>
      </w:pPr>
      <w:r>
        <w:rPr>
          <w:rFonts w:cs="Arial"/>
          <w:noProof/>
          <w:color w:val="000000" w:themeColor="text1"/>
        </w:rPr>
        <w:drawing>
          <wp:anchor distT="0" distB="0" distL="114300" distR="114300" simplePos="0" relativeHeight="251714560" behindDoc="0" locked="0" layoutInCell="1" allowOverlap="1" wp14:anchorId="07D0070B" wp14:editId="4938E7B7">
            <wp:simplePos x="0" y="0"/>
            <wp:positionH relativeFrom="margin">
              <wp:posOffset>1031240</wp:posOffset>
            </wp:positionH>
            <wp:positionV relativeFrom="paragraph">
              <wp:posOffset>16510</wp:posOffset>
            </wp:positionV>
            <wp:extent cx="4398645" cy="2548255"/>
            <wp:effectExtent l="0" t="0" r="1905" b="4445"/>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98645" cy="2548255"/>
                    </a:xfrm>
                    <a:prstGeom prst="rect">
                      <a:avLst/>
                    </a:prstGeom>
                    <a:noFill/>
                  </pic:spPr>
                </pic:pic>
              </a:graphicData>
            </a:graphic>
          </wp:anchor>
        </w:drawing>
      </w:r>
    </w:p>
    <w:p w14:paraId="007922B4" w14:textId="7C07C6B4" w:rsidR="00AF2818" w:rsidRDefault="00AF2818" w:rsidP="008D4CFD">
      <w:pPr>
        <w:ind w:left="709"/>
        <w:rPr>
          <w:rFonts w:cs="Arial"/>
          <w:color w:val="000000" w:themeColor="text1"/>
        </w:rPr>
      </w:pPr>
    </w:p>
    <w:p w14:paraId="092F8EFD" w14:textId="5CFE1EB8" w:rsidR="00AF2818" w:rsidRDefault="00AF2818" w:rsidP="008D4CFD">
      <w:pPr>
        <w:ind w:left="709"/>
        <w:rPr>
          <w:rFonts w:cs="Arial"/>
          <w:color w:val="000000" w:themeColor="text1"/>
        </w:rPr>
      </w:pPr>
    </w:p>
    <w:p w14:paraId="41754B9B" w14:textId="194436B4" w:rsidR="00AF2818" w:rsidRDefault="00AF2818" w:rsidP="008D4CFD">
      <w:pPr>
        <w:ind w:left="709"/>
        <w:rPr>
          <w:rFonts w:cs="Arial"/>
          <w:color w:val="000000" w:themeColor="text1"/>
        </w:rPr>
      </w:pPr>
    </w:p>
    <w:p w14:paraId="44E77294" w14:textId="700D51DD" w:rsidR="00AF2818" w:rsidRDefault="00AF2818" w:rsidP="008D4CFD">
      <w:pPr>
        <w:ind w:left="709"/>
        <w:rPr>
          <w:rFonts w:cs="Arial"/>
          <w:color w:val="000000" w:themeColor="text1"/>
        </w:rPr>
      </w:pPr>
    </w:p>
    <w:p w14:paraId="30B5F9E3" w14:textId="3D843E30" w:rsidR="00AF2818" w:rsidRDefault="00AF2818" w:rsidP="008D4CFD">
      <w:pPr>
        <w:ind w:left="709"/>
        <w:rPr>
          <w:rFonts w:cs="Arial"/>
          <w:color w:val="000000" w:themeColor="text1"/>
        </w:rPr>
      </w:pPr>
    </w:p>
    <w:p w14:paraId="4D4D3A14" w14:textId="362DD66B" w:rsidR="00AF2818" w:rsidRDefault="00AF2818" w:rsidP="008D4CFD">
      <w:pPr>
        <w:ind w:left="709"/>
        <w:rPr>
          <w:rFonts w:cs="Arial"/>
          <w:color w:val="000000" w:themeColor="text1"/>
        </w:rPr>
      </w:pPr>
    </w:p>
    <w:p w14:paraId="4674715C" w14:textId="77777777" w:rsidR="00AF2818" w:rsidRPr="008D4CFD" w:rsidRDefault="00AF2818" w:rsidP="008D4CFD">
      <w:pPr>
        <w:ind w:left="709"/>
        <w:rPr>
          <w:rFonts w:cs="Arial"/>
          <w:color w:val="000000" w:themeColor="text1"/>
        </w:rPr>
      </w:pPr>
    </w:p>
    <w:p w14:paraId="50C8EC17" w14:textId="77777777" w:rsidR="00AF2818" w:rsidRDefault="00AF2818" w:rsidP="00D923BB">
      <w:pPr>
        <w:jc w:val="center"/>
        <w:rPr>
          <w:rFonts w:cs="Arial"/>
          <w:color w:val="000000" w:themeColor="text1"/>
        </w:rPr>
      </w:pPr>
    </w:p>
    <w:p w14:paraId="34A9A7CD" w14:textId="77777777" w:rsidR="00AF2818" w:rsidRDefault="00AF2818" w:rsidP="00D923BB">
      <w:pPr>
        <w:jc w:val="center"/>
        <w:rPr>
          <w:rFonts w:cs="Arial"/>
          <w:color w:val="000000" w:themeColor="text1"/>
        </w:rPr>
      </w:pPr>
    </w:p>
    <w:p w14:paraId="222F4DB9" w14:textId="77777777" w:rsidR="00AF2818" w:rsidRDefault="00AF2818" w:rsidP="00D923BB">
      <w:pPr>
        <w:jc w:val="center"/>
        <w:rPr>
          <w:rFonts w:cs="Arial"/>
          <w:color w:val="000000" w:themeColor="text1"/>
        </w:rPr>
      </w:pPr>
    </w:p>
    <w:p w14:paraId="304AABB2" w14:textId="77777777" w:rsidR="00AF2818" w:rsidRDefault="00AF2818" w:rsidP="00D923BB">
      <w:pPr>
        <w:jc w:val="center"/>
        <w:rPr>
          <w:rFonts w:cs="Arial"/>
          <w:color w:val="000000" w:themeColor="text1"/>
        </w:rPr>
      </w:pPr>
    </w:p>
    <w:p w14:paraId="71DE09F8" w14:textId="77777777" w:rsidR="00AF2818" w:rsidRDefault="00AF2818" w:rsidP="00D923BB">
      <w:pPr>
        <w:jc w:val="center"/>
        <w:rPr>
          <w:rFonts w:cs="Arial"/>
          <w:color w:val="000000" w:themeColor="text1"/>
        </w:rPr>
      </w:pPr>
    </w:p>
    <w:p w14:paraId="78DB101D" w14:textId="77777777" w:rsidR="00AF2818" w:rsidRDefault="00AF2818" w:rsidP="00D923BB">
      <w:pPr>
        <w:jc w:val="center"/>
        <w:rPr>
          <w:rFonts w:cs="Arial"/>
          <w:color w:val="000000" w:themeColor="text1"/>
        </w:rPr>
      </w:pPr>
    </w:p>
    <w:p w14:paraId="102245C2" w14:textId="77777777" w:rsidR="00AF2818" w:rsidRDefault="00AF2818" w:rsidP="00D923BB">
      <w:pPr>
        <w:jc w:val="center"/>
        <w:rPr>
          <w:rFonts w:cs="Arial"/>
          <w:color w:val="000000" w:themeColor="text1"/>
        </w:rPr>
      </w:pPr>
    </w:p>
    <w:p w14:paraId="0DA616D0" w14:textId="07061A0E" w:rsidR="00D923BB" w:rsidRPr="00AA34BE" w:rsidRDefault="00D923BB" w:rsidP="00AF2818">
      <w:pPr>
        <w:ind w:firstLine="709"/>
        <w:jc w:val="center"/>
        <w:rPr>
          <w:rFonts w:cs="Arial"/>
          <w:color w:val="000000" w:themeColor="text1"/>
        </w:rPr>
      </w:pPr>
      <w:r w:rsidRPr="00AA34BE">
        <w:rPr>
          <w:rFonts w:cs="Arial"/>
          <w:color w:val="000000" w:themeColor="text1"/>
        </w:rPr>
        <w:t>Фиг.3</w:t>
      </w:r>
    </w:p>
    <w:p w14:paraId="37C5EA60" w14:textId="77777777" w:rsidR="00D923BB" w:rsidRPr="00AA34BE" w:rsidRDefault="00D923BB" w:rsidP="00D923BB">
      <w:pPr>
        <w:ind w:left="709"/>
        <w:rPr>
          <w:rFonts w:cs="Arial"/>
          <w:color w:val="000000" w:themeColor="text1"/>
        </w:rPr>
      </w:pPr>
    </w:p>
    <w:p w14:paraId="3EBD4349" w14:textId="77777777" w:rsidR="00D923BB" w:rsidRPr="00AA34BE" w:rsidRDefault="00D923BB" w:rsidP="00D923BB">
      <w:pPr>
        <w:numPr>
          <w:ilvl w:val="0"/>
          <w:numId w:val="14"/>
        </w:numPr>
        <w:spacing w:line="240" w:lineRule="auto"/>
        <w:ind w:left="709" w:firstLine="360"/>
        <w:rPr>
          <w:rFonts w:cs="Arial"/>
          <w:b/>
          <w:color w:val="000000" w:themeColor="text1"/>
        </w:rPr>
      </w:pPr>
      <w:bookmarkStart w:id="6" w:name="_Hlk114210971"/>
      <w:r w:rsidRPr="00AA34BE">
        <w:rPr>
          <w:rFonts w:cs="Arial"/>
          <w:b/>
          <w:color w:val="000000" w:themeColor="text1"/>
        </w:rPr>
        <w:lastRenderedPageBreak/>
        <w:t>Технологични разходи на топлинна енергия в абонатни станции</w:t>
      </w:r>
    </w:p>
    <w:bookmarkEnd w:id="6"/>
    <w:p w14:paraId="7DCB1C43" w14:textId="77777777" w:rsidR="00D923BB" w:rsidRPr="00AA34BE" w:rsidRDefault="00D923BB" w:rsidP="00D923BB">
      <w:pPr>
        <w:spacing w:before="60" w:after="60" w:line="240" w:lineRule="auto"/>
        <w:ind w:left="709"/>
        <w:rPr>
          <w:rFonts w:cs="Arial"/>
          <w:color w:val="000000" w:themeColor="text1"/>
        </w:rPr>
      </w:pPr>
      <w:r w:rsidRPr="00AA34BE">
        <w:rPr>
          <w:rFonts w:cs="Arial"/>
          <w:color w:val="000000" w:themeColor="text1"/>
        </w:rPr>
        <w:t xml:space="preserve">Всички абонатни станции, които са част от топлопреносната мрежа на дружеството, са </w:t>
      </w:r>
      <w:proofErr w:type="spellStart"/>
      <w:r w:rsidRPr="00AA34BE">
        <w:rPr>
          <w:rFonts w:cs="Arial"/>
          <w:color w:val="000000" w:themeColor="text1"/>
        </w:rPr>
        <w:t>рехабилитирани</w:t>
      </w:r>
      <w:proofErr w:type="spellEnd"/>
      <w:r w:rsidRPr="00AA34BE">
        <w:rPr>
          <w:rFonts w:cs="Arial"/>
          <w:color w:val="000000" w:themeColor="text1"/>
        </w:rPr>
        <w:t xml:space="preserve"> през периода от 2001 г. до 2002 г. Изцяло е заменено регулирането им, а около 70 % от остарелите </w:t>
      </w:r>
      <w:proofErr w:type="spellStart"/>
      <w:r w:rsidRPr="00AA34BE">
        <w:rPr>
          <w:rFonts w:cs="Arial"/>
          <w:color w:val="000000" w:themeColor="text1"/>
        </w:rPr>
        <w:t>подгреватели</w:t>
      </w:r>
      <w:proofErr w:type="spellEnd"/>
      <w:r w:rsidRPr="00AA34BE">
        <w:rPr>
          <w:rFonts w:cs="Arial"/>
          <w:color w:val="000000" w:themeColor="text1"/>
        </w:rPr>
        <w:t xml:space="preserve"> за отопление и горещо водоснабдяване и елеваторите са заменени с </w:t>
      </w:r>
      <w:proofErr w:type="spellStart"/>
      <w:r w:rsidRPr="00AA34BE">
        <w:rPr>
          <w:rFonts w:cs="Arial"/>
          <w:color w:val="000000" w:themeColor="text1"/>
        </w:rPr>
        <w:t>пластинчати</w:t>
      </w:r>
      <w:proofErr w:type="spellEnd"/>
      <w:r w:rsidRPr="00AA34BE">
        <w:rPr>
          <w:rFonts w:cs="Arial"/>
          <w:color w:val="000000" w:themeColor="text1"/>
        </w:rPr>
        <w:t xml:space="preserve"> </w:t>
      </w:r>
      <w:proofErr w:type="spellStart"/>
      <w:r w:rsidRPr="00AA34BE">
        <w:rPr>
          <w:rFonts w:cs="Arial"/>
          <w:color w:val="000000" w:themeColor="text1"/>
        </w:rPr>
        <w:t>подгреватели</w:t>
      </w:r>
      <w:proofErr w:type="spellEnd"/>
      <w:r w:rsidRPr="00AA34BE">
        <w:rPr>
          <w:rFonts w:cs="Arial"/>
          <w:color w:val="000000" w:themeColor="text1"/>
        </w:rPr>
        <w:t>. След 2006 г. поетапно се подменят</w:t>
      </w:r>
      <w:r w:rsidRPr="00AA34BE">
        <w:rPr>
          <w:rFonts w:cs="Arial"/>
          <w:color w:val="000000" w:themeColor="text1"/>
          <w:lang w:val="en-US"/>
        </w:rPr>
        <w:t xml:space="preserve"> </w:t>
      </w:r>
      <w:r w:rsidRPr="00AA34BE">
        <w:rPr>
          <w:rFonts w:cs="Arial"/>
          <w:color w:val="000000" w:themeColor="text1"/>
        </w:rPr>
        <w:t xml:space="preserve">останалите </w:t>
      </w:r>
      <w:proofErr w:type="spellStart"/>
      <w:r w:rsidRPr="00AA34BE">
        <w:rPr>
          <w:rFonts w:cs="Arial"/>
          <w:color w:val="000000" w:themeColor="text1"/>
        </w:rPr>
        <w:t>кожухотръбни</w:t>
      </w:r>
      <w:proofErr w:type="spellEnd"/>
      <w:r w:rsidRPr="00AA34BE">
        <w:rPr>
          <w:rFonts w:cs="Arial"/>
          <w:color w:val="000000" w:themeColor="text1"/>
        </w:rPr>
        <w:t xml:space="preserve"> </w:t>
      </w:r>
      <w:proofErr w:type="spellStart"/>
      <w:r w:rsidRPr="00AA34BE">
        <w:rPr>
          <w:rFonts w:cs="Arial"/>
          <w:color w:val="000000" w:themeColor="text1"/>
        </w:rPr>
        <w:t>подгреватели</w:t>
      </w:r>
      <w:proofErr w:type="spellEnd"/>
      <w:r w:rsidRPr="00AA34BE">
        <w:rPr>
          <w:rFonts w:cs="Arial"/>
          <w:color w:val="000000" w:themeColor="text1"/>
        </w:rPr>
        <w:t xml:space="preserve"> с </w:t>
      </w:r>
      <w:proofErr w:type="spellStart"/>
      <w:r w:rsidRPr="00AA34BE">
        <w:rPr>
          <w:rFonts w:cs="Arial"/>
          <w:color w:val="000000" w:themeColor="text1"/>
        </w:rPr>
        <w:t>пластинчати</w:t>
      </w:r>
      <w:proofErr w:type="spellEnd"/>
      <w:r w:rsidRPr="00AA34BE">
        <w:rPr>
          <w:rFonts w:cs="Arial"/>
          <w:color w:val="000000" w:themeColor="text1"/>
        </w:rPr>
        <w:t xml:space="preserve">. През периода от 2006 г. до 2008 г. всички абонатни станции с </w:t>
      </w:r>
      <w:proofErr w:type="spellStart"/>
      <w:r w:rsidRPr="00AA34BE">
        <w:rPr>
          <w:rFonts w:cs="Arial"/>
          <w:color w:val="000000" w:themeColor="text1"/>
        </w:rPr>
        <w:t>кожухотръбни</w:t>
      </w:r>
      <w:proofErr w:type="spellEnd"/>
      <w:r w:rsidRPr="00AA34BE">
        <w:rPr>
          <w:rFonts w:cs="Arial"/>
          <w:color w:val="000000" w:themeColor="text1"/>
        </w:rPr>
        <w:t xml:space="preserve"> </w:t>
      </w:r>
      <w:proofErr w:type="spellStart"/>
      <w:r w:rsidRPr="00AA34BE">
        <w:rPr>
          <w:rFonts w:cs="Arial"/>
          <w:color w:val="000000" w:themeColor="text1"/>
        </w:rPr>
        <w:t>подгреватели</w:t>
      </w:r>
      <w:proofErr w:type="spellEnd"/>
      <w:r w:rsidRPr="00AA34BE">
        <w:rPr>
          <w:rFonts w:cs="Arial"/>
          <w:color w:val="000000" w:themeColor="text1"/>
        </w:rPr>
        <w:t xml:space="preserve"> са напълно изолирани. Новоизграждащите се абонатни станции са от съвременен тип.</w:t>
      </w:r>
    </w:p>
    <w:p w14:paraId="740820E3" w14:textId="77777777" w:rsidR="00D923BB" w:rsidRPr="00AA34BE" w:rsidRDefault="00D923BB" w:rsidP="00D923BB">
      <w:pPr>
        <w:spacing w:before="60" w:after="60" w:line="240" w:lineRule="auto"/>
        <w:ind w:left="709"/>
        <w:rPr>
          <w:rFonts w:cs="Arial"/>
          <w:color w:val="000000" w:themeColor="text1"/>
        </w:rPr>
      </w:pPr>
      <w:r w:rsidRPr="00AA34BE">
        <w:rPr>
          <w:rFonts w:cs="Arial"/>
          <w:color w:val="000000" w:themeColor="text1"/>
        </w:rPr>
        <w:t>Изменението на технологичните разходи в абонатните станции, което е видно от Фигура 1, основно зависи от броя на работещите абонатни станции, режимите на работа, броя работни дни на всяка АС. Видно е, че годишните стойности на тези разходи не се изменят съществено през разглеждания период.</w:t>
      </w:r>
    </w:p>
    <w:p w14:paraId="76E289B1" w14:textId="74BE5817" w:rsidR="00D923BB" w:rsidRPr="00AA34BE" w:rsidRDefault="00D923BB" w:rsidP="00D923BB">
      <w:pPr>
        <w:spacing w:before="60" w:after="60" w:line="240" w:lineRule="auto"/>
        <w:ind w:left="709"/>
        <w:rPr>
          <w:rFonts w:cs="Arial"/>
          <w:color w:val="000000" w:themeColor="text1"/>
        </w:rPr>
      </w:pPr>
      <w:r w:rsidRPr="00AA34BE">
        <w:rPr>
          <w:rFonts w:cs="Arial"/>
          <w:color w:val="000000" w:themeColor="text1"/>
        </w:rPr>
        <w:t xml:space="preserve">За предстоящия ценови период от 01.07.2024 г. до 30.06.2025 г. тези разходи са прогнозирани в размер на </w:t>
      </w:r>
      <w:r w:rsidR="007D36FD">
        <w:rPr>
          <w:rFonts w:cs="Arial"/>
          <w:b/>
          <w:bCs/>
          <w:color w:val="000000" w:themeColor="text1"/>
          <w:lang w:val="en-US"/>
        </w:rPr>
        <w:t>X XXX</w:t>
      </w:r>
      <w:r w:rsidRPr="00AA34BE">
        <w:rPr>
          <w:rFonts w:cs="Arial"/>
          <w:b/>
          <w:color w:val="000000" w:themeColor="text1"/>
        </w:rPr>
        <w:t xml:space="preserve"> MWh</w:t>
      </w:r>
      <w:r w:rsidRPr="00AA34BE">
        <w:rPr>
          <w:rFonts w:cs="Arial"/>
          <w:color w:val="000000" w:themeColor="text1"/>
        </w:rPr>
        <w:t xml:space="preserve"> и съответстват на достигнатите нива през последните шест години. </w:t>
      </w:r>
    </w:p>
    <w:p w14:paraId="6BC9346C" w14:textId="77777777" w:rsidR="00D923BB" w:rsidRDefault="00D923BB" w:rsidP="00D923BB">
      <w:pPr>
        <w:spacing w:before="60" w:after="60" w:line="240" w:lineRule="auto"/>
        <w:ind w:left="709"/>
        <w:rPr>
          <w:rFonts w:cs="Arial"/>
          <w:color w:val="000000" w:themeColor="text1"/>
        </w:rPr>
      </w:pPr>
      <w:r w:rsidRPr="00AA34BE">
        <w:rPr>
          <w:rFonts w:cs="Arial"/>
          <w:color w:val="000000" w:themeColor="text1"/>
        </w:rPr>
        <w:t>В следващата таблица е представено разпределението по месеци, в сравнение с постигнатите разходи през календарната 2023 г.</w:t>
      </w:r>
    </w:p>
    <w:p w14:paraId="16DF60C3" w14:textId="77777777" w:rsidR="00AF2818" w:rsidRPr="00AA34BE" w:rsidRDefault="00AF2818" w:rsidP="00D923BB">
      <w:pPr>
        <w:spacing w:before="60" w:after="60" w:line="240" w:lineRule="auto"/>
        <w:ind w:left="709"/>
        <w:rPr>
          <w:rFonts w:cs="Arial"/>
          <w:color w:val="000000" w:themeColor="text1"/>
        </w:rPr>
      </w:pPr>
    </w:p>
    <w:tbl>
      <w:tblPr>
        <w:tblW w:w="5273" w:type="dxa"/>
        <w:jc w:val="center"/>
        <w:tblCellMar>
          <w:left w:w="70" w:type="dxa"/>
          <w:right w:w="70" w:type="dxa"/>
        </w:tblCellMar>
        <w:tblLook w:val="04A0" w:firstRow="1" w:lastRow="0" w:firstColumn="1" w:lastColumn="0" w:noHBand="0" w:noVBand="1"/>
      </w:tblPr>
      <w:tblGrid>
        <w:gridCol w:w="1730"/>
        <w:gridCol w:w="1843"/>
        <w:gridCol w:w="1700"/>
      </w:tblGrid>
      <w:tr w:rsidR="00AA34BE" w:rsidRPr="00AA34BE" w14:paraId="5DBB7675" w14:textId="77777777" w:rsidTr="006240A3">
        <w:trPr>
          <w:trHeight w:val="5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0ED0D72" w14:textId="77777777" w:rsidR="00D923BB" w:rsidRPr="00AA34BE" w:rsidRDefault="00D923BB" w:rsidP="006240A3">
            <w:pPr>
              <w:ind w:left="709"/>
              <w:rPr>
                <w:rFonts w:cs="Arial"/>
                <w:color w:val="000000" w:themeColor="text1"/>
                <w:sz w:val="18"/>
                <w:szCs w:val="18"/>
              </w:rPr>
            </w:pPr>
            <w:r w:rsidRPr="00AA34BE">
              <w:rPr>
                <w:rFonts w:cs="Arial"/>
                <w:color w:val="000000" w:themeColor="text1"/>
                <w:sz w:val="18"/>
                <w:szCs w:val="18"/>
              </w:rPr>
              <w:t>МЕСЕЦ</w:t>
            </w:r>
          </w:p>
        </w:tc>
        <w:tc>
          <w:tcPr>
            <w:tcW w:w="1843" w:type="dxa"/>
            <w:tcBorders>
              <w:top w:val="single" w:sz="8" w:space="0" w:color="auto"/>
              <w:left w:val="nil"/>
              <w:bottom w:val="single" w:sz="4" w:space="0" w:color="auto"/>
              <w:right w:val="single" w:sz="4" w:space="0" w:color="auto"/>
            </w:tcBorders>
            <w:shd w:val="clear" w:color="auto" w:fill="auto"/>
            <w:noWrap/>
            <w:vAlign w:val="bottom"/>
            <w:hideMark/>
          </w:tcPr>
          <w:p w14:paraId="41298BC8" w14:textId="77777777" w:rsidR="00D923BB" w:rsidRPr="00AA34BE" w:rsidRDefault="00D923BB" w:rsidP="006240A3">
            <w:pPr>
              <w:ind w:left="709"/>
              <w:jc w:val="center"/>
              <w:rPr>
                <w:rFonts w:cs="Arial"/>
                <w:color w:val="000000" w:themeColor="text1"/>
                <w:sz w:val="18"/>
                <w:szCs w:val="18"/>
                <w:lang w:val="en-US"/>
              </w:rPr>
            </w:pPr>
            <w:r w:rsidRPr="00AA34BE">
              <w:rPr>
                <w:rFonts w:cs="Arial"/>
                <w:color w:val="000000" w:themeColor="text1"/>
                <w:sz w:val="18"/>
                <w:szCs w:val="18"/>
              </w:rPr>
              <w:t>Календарна 2023</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14:paraId="71E4486D" w14:textId="77777777" w:rsidR="00D923BB" w:rsidRPr="00AA34BE" w:rsidRDefault="00D923BB" w:rsidP="006240A3">
            <w:pPr>
              <w:ind w:left="709"/>
              <w:jc w:val="center"/>
              <w:rPr>
                <w:rFonts w:cs="Arial"/>
                <w:color w:val="000000" w:themeColor="text1"/>
                <w:sz w:val="18"/>
                <w:szCs w:val="18"/>
                <w:lang w:val="en-US"/>
              </w:rPr>
            </w:pPr>
            <w:r w:rsidRPr="00AA34BE">
              <w:rPr>
                <w:rFonts w:cs="Arial"/>
                <w:color w:val="000000" w:themeColor="text1"/>
                <w:sz w:val="18"/>
                <w:szCs w:val="18"/>
              </w:rPr>
              <w:t>2024/2025</w:t>
            </w:r>
          </w:p>
        </w:tc>
      </w:tr>
      <w:tr w:rsidR="00AA34BE" w:rsidRPr="00AA34BE" w14:paraId="67DD5C2D" w14:textId="77777777" w:rsidTr="006240A3">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BBC3FE4" w14:textId="77777777" w:rsidR="00D923BB" w:rsidRPr="00AA34BE" w:rsidRDefault="00D923BB" w:rsidP="006240A3">
            <w:pPr>
              <w:ind w:left="709"/>
              <w:rPr>
                <w:rFonts w:cs="Arial"/>
                <w:color w:val="000000" w:themeColor="text1"/>
                <w:sz w:val="18"/>
                <w:szCs w:val="18"/>
              </w:rPr>
            </w:pPr>
            <w:r w:rsidRPr="00AA34BE">
              <w:rPr>
                <w:rFonts w:cs="Arial"/>
                <w:color w:val="000000" w:themeColor="text1"/>
                <w:sz w:val="18"/>
                <w:szCs w:val="18"/>
              </w:rPr>
              <w:t> </w:t>
            </w:r>
          </w:p>
        </w:tc>
        <w:tc>
          <w:tcPr>
            <w:tcW w:w="1843" w:type="dxa"/>
            <w:tcBorders>
              <w:top w:val="nil"/>
              <w:left w:val="nil"/>
              <w:bottom w:val="single" w:sz="4" w:space="0" w:color="auto"/>
              <w:right w:val="single" w:sz="4" w:space="0" w:color="auto"/>
            </w:tcBorders>
            <w:shd w:val="clear" w:color="auto" w:fill="auto"/>
            <w:vAlign w:val="bottom"/>
            <w:hideMark/>
          </w:tcPr>
          <w:p w14:paraId="7FEC026A"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АС</w:t>
            </w:r>
          </w:p>
        </w:tc>
        <w:tc>
          <w:tcPr>
            <w:tcW w:w="1700" w:type="dxa"/>
            <w:tcBorders>
              <w:top w:val="nil"/>
              <w:left w:val="nil"/>
              <w:bottom w:val="single" w:sz="4" w:space="0" w:color="auto"/>
              <w:right w:val="single" w:sz="8" w:space="0" w:color="auto"/>
            </w:tcBorders>
            <w:shd w:val="clear" w:color="auto" w:fill="auto"/>
            <w:vAlign w:val="bottom"/>
            <w:hideMark/>
          </w:tcPr>
          <w:p w14:paraId="1C258EA0"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АС</w:t>
            </w:r>
          </w:p>
        </w:tc>
      </w:tr>
      <w:tr w:rsidR="00AA34BE" w:rsidRPr="00AA34BE" w14:paraId="207F6675" w14:textId="77777777" w:rsidTr="006240A3">
        <w:trPr>
          <w:trHeight w:val="57"/>
          <w:jc w:val="center"/>
        </w:trPr>
        <w:tc>
          <w:tcPr>
            <w:tcW w:w="1730" w:type="dxa"/>
            <w:tcBorders>
              <w:top w:val="nil"/>
              <w:left w:val="single" w:sz="8" w:space="0" w:color="auto"/>
              <w:bottom w:val="nil"/>
              <w:right w:val="single" w:sz="4" w:space="0" w:color="auto"/>
            </w:tcBorders>
            <w:shd w:val="clear" w:color="auto" w:fill="auto"/>
            <w:noWrap/>
            <w:vAlign w:val="bottom"/>
            <w:hideMark/>
          </w:tcPr>
          <w:p w14:paraId="32261233"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w:t>
            </w:r>
          </w:p>
        </w:tc>
        <w:tc>
          <w:tcPr>
            <w:tcW w:w="1843" w:type="dxa"/>
            <w:tcBorders>
              <w:top w:val="nil"/>
              <w:left w:val="nil"/>
              <w:bottom w:val="nil"/>
              <w:right w:val="single" w:sz="4" w:space="0" w:color="auto"/>
            </w:tcBorders>
            <w:shd w:val="clear" w:color="auto" w:fill="auto"/>
            <w:noWrap/>
            <w:vAlign w:val="bottom"/>
            <w:hideMark/>
          </w:tcPr>
          <w:p w14:paraId="7994FEEC"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MWh</w:t>
            </w:r>
          </w:p>
        </w:tc>
        <w:tc>
          <w:tcPr>
            <w:tcW w:w="1700" w:type="dxa"/>
            <w:tcBorders>
              <w:top w:val="nil"/>
              <w:left w:val="nil"/>
              <w:bottom w:val="nil"/>
              <w:right w:val="single" w:sz="8" w:space="0" w:color="auto"/>
            </w:tcBorders>
            <w:shd w:val="clear" w:color="auto" w:fill="auto"/>
            <w:noWrap/>
            <w:vAlign w:val="bottom"/>
            <w:hideMark/>
          </w:tcPr>
          <w:p w14:paraId="6404A01D"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MWh</w:t>
            </w:r>
          </w:p>
        </w:tc>
      </w:tr>
      <w:tr w:rsidR="00AA34BE" w:rsidRPr="00AA34BE" w14:paraId="4ECCA5F7" w14:textId="77777777" w:rsidTr="006240A3">
        <w:trPr>
          <w:trHeight w:val="5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28A5BE3" w14:textId="77777777" w:rsidR="00D923BB" w:rsidRPr="00AA34BE" w:rsidRDefault="00D923BB" w:rsidP="006240A3">
            <w:pPr>
              <w:ind w:left="709"/>
              <w:rPr>
                <w:rFonts w:cs="Arial"/>
                <w:color w:val="000000" w:themeColor="text1"/>
                <w:sz w:val="18"/>
                <w:szCs w:val="18"/>
              </w:rPr>
            </w:pPr>
            <w:r w:rsidRPr="00AA34BE">
              <w:rPr>
                <w:rFonts w:cs="Arial"/>
                <w:color w:val="000000" w:themeColor="text1"/>
                <w:sz w:val="18"/>
                <w:szCs w:val="18"/>
              </w:rPr>
              <w:t>Януари</w:t>
            </w:r>
          </w:p>
        </w:tc>
        <w:tc>
          <w:tcPr>
            <w:tcW w:w="1843"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20F3F4F3" w14:textId="4A1DE1D7" w:rsidR="00D923BB" w:rsidRPr="007D36FD" w:rsidRDefault="007D36FD" w:rsidP="006240A3">
            <w:pPr>
              <w:ind w:left="709"/>
              <w:jc w:val="right"/>
              <w:rPr>
                <w:rFonts w:cs="Arial"/>
                <w:color w:val="000000" w:themeColor="text1"/>
                <w:lang w:val="en-US"/>
              </w:rPr>
            </w:pPr>
            <w:r>
              <w:rPr>
                <w:rFonts w:cs="Arial"/>
                <w:color w:val="000000" w:themeColor="text1"/>
                <w:sz w:val="20"/>
                <w:szCs w:val="20"/>
                <w:lang w:val="en-US"/>
              </w:rPr>
              <w:t>x xxx</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14:paraId="4A08CDD1" w14:textId="52B57DBC" w:rsidR="00D923BB" w:rsidRPr="00AA34BE" w:rsidRDefault="007D36FD" w:rsidP="006240A3">
            <w:pPr>
              <w:ind w:left="709"/>
              <w:jc w:val="right"/>
              <w:rPr>
                <w:rFonts w:cs="Arial"/>
                <w:color w:val="000000" w:themeColor="text1"/>
              </w:rPr>
            </w:pPr>
            <w:r>
              <w:rPr>
                <w:rFonts w:cs="Arial"/>
                <w:color w:val="000000" w:themeColor="text1"/>
                <w:sz w:val="20"/>
                <w:szCs w:val="20"/>
                <w:lang w:val="en-US"/>
              </w:rPr>
              <w:t>x xxx</w:t>
            </w:r>
          </w:p>
        </w:tc>
      </w:tr>
      <w:tr w:rsidR="007D36FD" w:rsidRPr="00AA34BE" w14:paraId="103F249F" w14:textId="77777777" w:rsidTr="00CF3A91">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C07C2CF" w14:textId="77777777" w:rsidR="007D36FD" w:rsidRPr="00AA34BE" w:rsidRDefault="007D36FD" w:rsidP="007D36FD">
            <w:pPr>
              <w:ind w:left="709"/>
              <w:rPr>
                <w:rFonts w:cs="Arial"/>
                <w:color w:val="000000" w:themeColor="text1"/>
                <w:sz w:val="18"/>
                <w:szCs w:val="18"/>
              </w:rPr>
            </w:pPr>
            <w:r w:rsidRPr="00AA34BE">
              <w:rPr>
                <w:rFonts w:cs="Arial"/>
                <w:color w:val="000000" w:themeColor="text1"/>
                <w:sz w:val="18"/>
                <w:szCs w:val="18"/>
              </w:rPr>
              <w:t>Февруари</w:t>
            </w:r>
          </w:p>
        </w:tc>
        <w:tc>
          <w:tcPr>
            <w:tcW w:w="1843" w:type="dxa"/>
            <w:tcBorders>
              <w:top w:val="nil"/>
              <w:left w:val="single" w:sz="4" w:space="0" w:color="auto"/>
              <w:bottom w:val="single" w:sz="4" w:space="0" w:color="auto"/>
              <w:right w:val="single" w:sz="4" w:space="0" w:color="auto"/>
            </w:tcBorders>
            <w:shd w:val="clear" w:color="auto" w:fill="auto"/>
            <w:noWrap/>
            <w:hideMark/>
          </w:tcPr>
          <w:p w14:paraId="70C93D03" w14:textId="4CBB60DA" w:rsidR="007D36FD" w:rsidRPr="00AA34BE" w:rsidRDefault="007D36FD" w:rsidP="007D36FD">
            <w:pPr>
              <w:ind w:left="709"/>
              <w:jc w:val="right"/>
              <w:rPr>
                <w:rFonts w:cs="Arial"/>
                <w:color w:val="000000" w:themeColor="text1"/>
              </w:rPr>
            </w:pPr>
            <w:r w:rsidRPr="00F12542">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733696AB" w14:textId="742B1B38" w:rsidR="007D36FD" w:rsidRPr="00AA34BE" w:rsidRDefault="007D36FD" w:rsidP="007D36FD">
            <w:pPr>
              <w:ind w:left="709"/>
              <w:jc w:val="right"/>
              <w:rPr>
                <w:rFonts w:cs="Arial"/>
                <w:color w:val="000000" w:themeColor="text1"/>
              </w:rPr>
            </w:pPr>
            <w:r w:rsidRPr="00F12542">
              <w:rPr>
                <w:rFonts w:cs="Arial"/>
                <w:color w:val="000000" w:themeColor="text1"/>
                <w:sz w:val="20"/>
                <w:szCs w:val="20"/>
                <w:lang w:val="en-US"/>
              </w:rPr>
              <w:t>x xxx</w:t>
            </w:r>
          </w:p>
        </w:tc>
      </w:tr>
      <w:tr w:rsidR="007D36FD" w:rsidRPr="00AA34BE" w14:paraId="350270A9" w14:textId="77777777" w:rsidTr="009B21AB">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16C9D09" w14:textId="77777777" w:rsidR="007D36FD" w:rsidRPr="00AA34BE" w:rsidRDefault="007D36FD" w:rsidP="007D36FD">
            <w:pPr>
              <w:ind w:left="709"/>
              <w:rPr>
                <w:rFonts w:cs="Arial"/>
                <w:color w:val="000000" w:themeColor="text1"/>
                <w:sz w:val="18"/>
                <w:szCs w:val="18"/>
              </w:rPr>
            </w:pPr>
            <w:r w:rsidRPr="00AA34BE">
              <w:rPr>
                <w:rFonts w:cs="Arial"/>
                <w:color w:val="000000" w:themeColor="text1"/>
                <w:sz w:val="18"/>
                <w:szCs w:val="18"/>
              </w:rPr>
              <w:t>Март</w:t>
            </w:r>
          </w:p>
        </w:tc>
        <w:tc>
          <w:tcPr>
            <w:tcW w:w="1843" w:type="dxa"/>
            <w:tcBorders>
              <w:top w:val="nil"/>
              <w:left w:val="single" w:sz="4" w:space="0" w:color="auto"/>
              <w:bottom w:val="single" w:sz="4" w:space="0" w:color="auto"/>
              <w:right w:val="single" w:sz="4" w:space="0" w:color="auto"/>
            </w:tcBorders>
            <w:shd w:val="clear" w:color="auto" w:fill="auto"/>
            <w:noWrap/>
            <w:hideMark/>
          </w:tcPr>
          <w:p w14:paraId="1ED141BB" w14:textId="7E3F5644" w:rsidR="007D36FD" w:rsidRPr="00AA34BE" w:rsidRDefault="007D36FD" w:rsidP="007D36FD">
            <w:pPr>
              <w:ind w:left="709"/>
              <w:jc w:val="right"/>
              <w:rPr>
                <w:rFonts w:cs="Arial"/>
                <w:color w:val="000000" w:themeColor="text1"/>
              </w:rPr>
            </w:pPr>
            <w:r w:rsidRPr="00962F39">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5CD36625" w14:textId="6DEF234E" w:rsidR="007D36FD" w:rsidRPr="00AA34BE" w:rsidRDefault="007D36FD" w:rsidP="007D36FD">
            <w:pPr>
              <w:ind w:left="709"/>
              <w:jc w:val="right"/>
              <w:rPr>
                <w:rFonts w:cs="Arial"/>
                <w:color w:val="000000" w:themeColor="text1"/>
              </w:rPr>
            </w:pPr>
            <w:r w:rsidRPr="00962F39">
              <w:rPr>
                <w:rFonts w:cs="Arial"/>
                <w:color w:val="000000" w:themeColor="text1"/>
                <w:sz w:val="20"/>
                <w:szCs w:val="20"/>
                <w:lang w:val="en-US"/>
              </w:rPr>
              <w:t>x xxx</w:t>
            </w:r>
          </w:p>
        </w:tc>
      </w:tr>
      <w:tr w:rsidR="007D36FD" w:rsidRPr="00AA34BE" w14:paraId="48B8F290" w14:textId="77777777" w:rsidTr="00784D14">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39A8C75B" w14:textId="77777777" w:rsidR="007D36FD" w:rsidRPr="00AA34BE" w:rsidRDefault="007D36FD" w:rsidP="007D36FD">
            <w:pPr>
              <w:ind w:left="709"/>
              <w:rPr>
                <w:rFonts w:cs="Arial"/>
                <w:color w:val="000000" w:themeColor="text1"/>
                <w:sz w:val="18"/>
                <w:szCs w:val="18"/>
              </w:rPr>
            </w:pPr>
            <w:r w:rsidRPr="00AA34BE">
              <w:rPr>
                <w:rFonts w:cs="Arial"/>
                <w:color w:val="000000" w:themeColor="text1"/>
                <w:sz w:val="18"/>
                <w:szCs w:val="18"/>
              </w:rPr>
              <w:t>Април</w:t>
            </w:r>
          </w:p>
        </w:tc>
        <w:tc>
          <w:tcPr>
            <w:tcW w:w="1843" w:type="dxa"/>
            <w:tcBorders>
              <w:top w:val="nil"/>
              <w:left w:val="single" w:sz="4" w:space="0" w:color="auto"/>
              <w:bottom w:val="single" w:sz="4" w:space="0" w:color="auto"/>
              <w:right w:val="single" w:sz="4" w:space="0" w:color="auto"/>
            </w:tcBorders>
            <w:shd w:val="clear" w:color="auto" w:fill="auto"/>
            <w:noWrap/>
            <w:hideMark/>
          </w:tcPr>
          <w:p w14:paraId="1AF4BE3C" w14:textId="4BB883C0" w:rsidR="007D36FD" w:rsidRPr="007D36FD" w:rsidRDefault="007D36FD" w:rsidP="007D36FD">
            <w:pPr>
              <w:ind w:left="709"/>
              <w:jc w:val="right"/>
              <w:rPr>
                <w:rFonts w:cs="Arial"/>
                <w:color w:val="000000" w:themeColor="text1"/>
                <w:lang w:val="en-US"/>
              </w:rPr>
            </w:pPr>
            <w:r w:rsidRPr="004F28E3">
              <w:rPr>
                <w:rFonts w:cs="Arial"/>
                <w:color w:val="000000" w:themeColor="text1"/>
                <w:sz w:val="20"/>
                <w:szCs w:val="20"/>
                <w:lang w:val="en-US"/>
              </w:rPr>
              <w:t>xxx</w:t>
            </w:r>
          </w:p>
        </w:tc>
        <w:tc>
          <w:tcPr>
            <w:tcW w:w="1700" w:type="dxa"/>
            <w:tcBorders>
              <w:top w:val="nil"/>
              <w:left w:val="nil"/>
              <w:bottom w:val="single" w:sz="4" w:space="0" w:color="auto"/>
              <w:right w:val="single" w:sz="8" w:space="0" w:color="auto"/>
            </w:tcBorders>
            <w:shd w:val="clear" w:color="auto" w:fill="auto"/>
            <w:noWrap/>
            <w:hideMark/>
          </w:tcPr>
          <w:p w14:paraId="3A32C4E9" w14:textId="37F1B7F5"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r>
      <w:tr w:rsidR="007D36FD" w:rsidRPr="00AA34BE" w14:paraId="4D345986" w14:textId="77777777" w:rsidTr="00784D14">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A3E68EF" w14:textId="77777777" w:rsidR="007D36FD" w:rsidRPr="00AA34BE" w:rsidRDefault="007D36FD" w:rsidP="007D36FD">
            <w:pPr>
              <w:ind w:left="709"/>
              <w:rPr>
                <w:rFonts w:cs="Arial"/>
                <w:color w:val="000000" w:themeColor="text1"/>
                <w:sz w:val="18"/>
                <w:szCs w:val="18"/>
              </w:rPr>
            </w:pPr>
            <w:r w:rsidRPr="00AA34BE">
              <w:rPr>
                <w:rFonts w:cs="Arial"/>
                <w:color w:val="000000" w:themeColor="text1"/>
                <w:sz w:val="18"/>
                <w:szCs w:val="18"/>
              </w:rPr>
              <w:t>Май</w:t>
            </w:r>
          </w:p>
        </w:tc>
        <w:tc>
          <w:tcPr>
            <w:tcW w:w="1843" w:type="dxa"/>
            <w:tcBorders>
              <w:top w:val="nil"/>
              <w:left w:val="single" w:sz="4" w:space="0" w:color="auto"/>
              <w:bottom w:val="single" w:sz="4" w:space="0" w:color="auto"/>
              <w:right w:val="single" w:sz="4" w:space="0" w:color="auto"/>
            </w:tcBorders>
            <w:shd w:val="clear" w:color="auto" w:fill="auto"/>
            <w:noWrap/>
            <w:hideMark/>
          </w:tcPr>
          <w:p w14:paraId="474C84DF" w14:textId="1326D15D"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c>
          <w:tcPr>
            <w:tcW w:w="1700" w:type="dxa"/>
            <w:tcBorders>
              <w:top w:val="nil"/>
              <w:left w:val="nil"/>
              <w:bottom w:val="single" w:sz="4" w:space="0" w:color="auto"/>
              <w:right w:val="single" w:sz="8" w:space="0" w:color="auto"/>
            </w:tcBorders>
            <w:shd w:val="clear" w:color="auto" w:fill="auto"/>
            <w:noWrap/>
            <w:hideMark/>
          </w:tcPr>
          <w:p w14:paraId="5D923627" w14:textId="3E4D535A"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r>
      <w:tr w:rsidR="007D36FD" w:rsidRPr="00AA34BE" w14:paraId="2F454632" w14:textId="77777777" w:rsidTr="00784D14">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C5B3DF9" w14:textId="77777777" w:rsidR="007D36FD" w:rsidRPr="00AA34BE" w:rsidRDefault="007D36FD" w:rsidP="007D36FD">
            <w:pPr>
              <w:ind w:left="709"/>
              <w:rPr>
                <w:rFonts w:cs="Arial"/>
                <w:color w:val="000000" w:themeColor="text1"/>
                <w:sz w:val="18"/>
                <w:szCs w:val="18"/>
              </w:rPr>
            </w:pPr>
            <w:r w:rsidRPr="00AA34BE">
              <w:rPr>
                <w:rFonts w:cs="Arial"/>
                <w:color w:val="000000" w:themeColor="text1"/>
                <w:sz w:val="18"/>
                <w:szCs w:val="18"/>
              </w:rPr>
              <w:t>Юни</w:t>
            </w:r>
          </w:p>
        </w:tc>
        <w:tc>
          <w:tcPr>
            <w:tcW w:w="1843" w:type="dxa"/>
            <w:tcBorders>
              <w:top w:val="nil"/>
              <w:left w:val="single" w:sz="4" w:space="0" w:color="auto"/>
              <w:bottom w:val="single" w:sz="4" w:space="0" w:color="auto"/>
              <w:right w:val="single" w:sz="4" w:space="0" w:color="auto"/>
            </w:tcBorders>
            <w:shd w:val="clear" w:color="auto" w:fill="auto"/>
            <w:noWrap/>
            <w:hideMark/>
          </w:tcPr>
          <w:p w14:paraId="03656090" w14:textId="094FD0EC"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c>
          <w:tcPr>
            <w:tcW w:w="1700" w:type="dxa"/>
            <w:tcBorders>
              <w:top w:val="nil"/>
              <w:left w:val="nil"/>
              <w:bottom w:val="single" w:sz="4" w:space="0" w:color="auto"/>
              <w:right w:val="single" w:sz="8" w:space="0" w:color="auto"/>
            </w:tcBorders>
            <w:shd w:val="clear" w:color="auto" w:fill="auto"/>
            <w:noWrap/>
            <w:hideMark/>
          </w:tcPr>
          <w:p w14:paraId="63362564" w14:textId="4AD57E0B"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r>
      <w:tr w:rsidR="007D36FD" w:rsidRPr="00AA34BE" w14:paraId="443AC615" w14:textId="77777777" w:rsidTr="00784D14">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0FA2AFFA" w14:textId="77777777" w:rsidR="007D36FD" w:rsidRPr="00AA34BE" w:rsidRDefault="007D36FD" w:rsidP="007D36FD">
            <w:pPr>
              <w:ind w:left="709"/>
              <w:rPr>
                <w:rFonts w:cs="Arial"/>
                <w:color w:val="000000" w:themeColor="text1"/>
                <w:sz w:val="18"/>
                <w:szCs w:val="18"/>
              </w:rPr>
            </w:pPr>
            <w:r w:rsidRPr="00AA34BE">
              <w:rPr>
                <w:rFonts w:cs="Arial"/>
                <w:color w:val="000000" w:themeColor="text1"/>
                <w:sz w:val="18"/>
                <w:szCs w:val="18"/>
              </w:rPr>
              <w:t>Юли</w:t>
            </w:r>
          </w:p>
        </w:tc>
        <w:tc>
          <w:tcPr>
            <w:tcW w:w="1843" w:type="dxa"/>
            <w:tcBorders>
              <w:top w:val="nil"/>
              <w:left w:val="single" w:sz="4" w:space="0" w:color="auto"/>
              <w:bottom w:val="single" w:sz="4" w:space="0" w:color="auto"/>
              <w:right w:val="single" w:sz="4" w:space="0" w:color="auto"/>
            </w:tcBorders>
            <w:shd w:val="clear" w:color="auto" w:fill="auto"/>
            <w:noWrap/>
            <w:hideMark/>
          </w:tcPr>
          <w:p w14:paraId="6F45CC0E" w14:textId="09AD4D68"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c>
          <w:tcPr>
            <w:tcW w:w="1700" w:type="dxa"/>
            <w:tcBorders>
              <w:top w:val="nil"/>
              <w:left w:val="nil"/>
              <w:bottom w:val="single" w:sz="4" w:space="0" w:color="auto"/>
              <w:right w:val="single" w:sz="8" w:space="0" w:color="auto"/>
            </w:tcBorders>
            <w:shd w:val="clear" w:color="auto" w:fill="auto"/>
            <w:noWrap/>
            <w:hideMark/>
          </w:tcPr>
          <w:p w14:paraId="63B224CD" w14:textId="79DF5E2B"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r>
      <w:tr w:rsidR="007D36FD" w:rsidRPr="00AA34BE" w14:paraId="5984FA77" w14:textId="77777777" w:rsidTr="00784D14">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DCDE5E7" w14:textId="77777777" w:rsidR="007D36FD" w:rsidRPr="00AA34BE" w:rsidRDefault="007D36FD" w:rsidP="007D36FD">
            <w:pPr>
              <w:ind w:left="709"/>
              <w:rPr>
                <w:rFonts w:cs="Arial"/>
                <w:color w:val="000000" w:themeColor="text1"/>
                <w:sz w:val="18"/>
                <w:szCs w:val="18"/>
              </w:rPr>
            </w:pPr>
            <w:r w:rsidRPr="00AA34BE">
              <w:rPr>
                <w:rFonts w:cs="Arial"/>
                <w:color w:val="000000" w:themeColor="text1"/>
                <w:sz w:val="18"/>
                <w:szCs w:val="18"/>
              </w:rPr>
              <w:t>Август</w:t>
            </w:r>
          </w:p>
        </w:tc>
        <w:tc>
          <w:tcPr>
            <w:tcW w:w="1843" w:type="dxa"/>
            <w:tcBorders>
              <w:top w:val="nil"/>
              <w:left w:val="single" w:sz="4" w:space="0" w:color="auto"/>
              <w:bottom w:val="single" w:sz="4" w:space="0" w:color="auto"/>
              <w:right w:val="single" w:sz="4" w:space="0" w:color="auto"/>
            </w:tcBorders>
            <w:shd w:val="clear" w:color="auto" w:fill="auto"/>
            <w:noWrap/>
            <w:hideMark/>
          </w:tcPr>
          <w:p w14:paraId="7EF99353" w14:textId="24855681"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c>
          <w:tcPr>
            <w:tcW w:w="1700" w:type="dxa"/>
            <w:tcBorders>
              <w:top w:val="nil"/>
              <w:left w:val="nil"/>
              <w:bottom w:val="single" w:sz="4" w:space="0" w:color="auto"/>
              <w:right w:val="single" w:sz="8" w:space="0" w:color="auto"/>
            </w:tcBorders>
            <w:shd w:val="clear" w:color="auto" w:fill="auto"/>
            <w:noWrap/>
            <w:hideMark/>
          </w:tcPr>
          <w:p w14:paraId="4795D123" w14:textId="0C006B7A"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r>
      <w:tr w:rsidR="007D36FD" w:rsidRPr="00AA34BE" w14:paraId="2EED7704" w14:textId="77777777" w:rsidTr="00784D14">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5D897D66" w14:textId="77777777" w:rsidR="007D36FD" w:rsidRPr="00AA34BE" w:rsidRDefault="007D36FD" w:rsidP="007D36FD">
            <w:pPr>
              <w:ind w:left="709"/>
              <w:rPr>
                <w:rFonts w:cs="Arial"/>
                <w:color w:val="000000" w:themeColor="text1"/>
                <w:sz w:val="18"/>
                <w:szCs w:val="18"/>
              </w:rPr>
            </w:pPr>
            <w:r w:rsidRPr="00AA34BE">
              <w:rPr>
                <w:rFonts w:cs="Arial"/>
                <w:color w:val="000000" w:themeColor="text1"/>
                <w:sz w:val="18"/>
                <w:szCs w:val="18"/>
              </w:rPr>
              <w:t>Септември</w:t>
            </w:r>
          </w:p>
        </w:tc>
        <w:tc>
          <w:tcPr>
            <w:tcW w:w="1843" w:type="dxa"/>
            <w:tcBorders>
              <w:top w:val="nil"/>
              <w:left w:val="single" w:sz="4" w:space="0" w:color="auto"/>
              <w:bottom w:val="single" w:sz="4" w:space="0" w:color="auto"/>
              <w:right w:val="single" w:sz="4" w:space="0" w:color="auto"/>
            </w:tcBorders>
            <w:shd w:val="clear" w:color="auto" w:fill="auto"/>
            <w:noWrap/>
            <w:hideMark/>
          </w:tcPr>
          <w:p w14:paraId="7E9C878B" w14:textId="02067C26"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c>
          <w:tcPr>
            <w:tcW w:w="1700" w:type="dxa"/>
            <w:tcBorders>
              <w:top w:val="nil"/>
              <w:left w:val="nil"/>
              <w:bottom w:val="single" w:sz="4" w:space="0" w:color="auto"/>
              <w:right w:val="single" w:sz="8" w:space="0" w:color="auto"/>
            </w:tcBorders>
            <w:shd w:val="clear" w:color="auto" w:fill="auto"/>
            <w:noWrap/>
            <w:hideMark/>
          </w:tcPr>
          <w:p w14:paraId="5608E95D" w14:textId="1DEAC254"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r>
      <w:tr w:rsidR="007D36FD" w:rsidRPr="00AA34BE" w14:paraId="020C38A8" w14:textId="77777777" w:rsidTr="00784D14">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6FBB34F" w14:textId="77777777" w:rsidR="007D36FD" w:rsidRPr="00AA34BE" w:rsidRDefault="007D36FD" w:rsidP="007D36FD">
            <w:pPr>
              <w:ind w:left="709"/>
              <w:rPr>
                <w:rFonts w:cs="Arial"/>
                <w:color w:val="000000" w:themeColor="text1"/>
                <w:sz w:val="18"/>
                <w:szCs w:val="18"/>
              </w:rPr>
            </w:pPr>
            <w:r w:rsidRPr="00AA34BE">
              <w:rPr>
                <w:rFonts w:cs="Arial"/>
                <w:color w:val="000000" w:themeColor="text1"/>
                <w:sz w:val="18"/>
                <w:szCs w:val="18"/>
              </w:rPr>
              <w:t>Октомври</w:t>
            </w:r>
          </w:p>
        </w:tc>
        <w:tc>
          <w:tcPr>
            <w:tcW w:w="1843" w:type="dxa"/>
            <w:tcBorders>
              <w:top w:val="nil"/>
              <w:left w:val="single" w:sz="4" w:space="0" w:color="auto"/>
              <w:bottom w:val="single" w:sz="4" w:space="0" w:color="auto"/>
              <w:right w:val="single" w:sz="4" w:space="0" w:color="auto"/>
            </w:tcBorders>
            <w:shd w:val="clear" w:color="auto" w:fill="auto"/>
            <w:noWrap/>
            <w:hideMark/>
          </w:tcPr>
          <w:p w14:paraId="611ADC40" w14:textId="0D84EA12"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c>
          <w:tcPr>
            <w:tcW w:w="1700" w:type="dxa"/>
            <w:tcBorders>
              <w:top w:val="nil"/>
              <w:left w:val="nil"/>
              <w:bottom w:val="single" w:sz="4" w:space="0" w:color="auto"/>
              <w:right w:val="single" w:sz="8" w:space="0" w:color="auto"/>
            </w:tcBorders>
            <w:shd w:val="clear" w:color="auto" w:fill="auto"/>
            <w:noWrap/>
            <w:hideMark/>
          </w:tcPr>
          <w:p w14:paraId="5E807B6F" w14:textId="431D7DEB"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r>
      <w:tr w:rsidR="007D36FD" w:rsidRPr="00AA34BE" w14:paraId="486B58C7" w14:textId="77777777" w:rsidTr="00784D14">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29E624A7" w14:textId="77777777" w:rsidR="007D36FD" w:rsidRPr="00AA34BE" w:rsidRDefault="007D36FD" w:rsidP="007D36FD">
            <w:pPr>
              <w:ind w:left="709"/>
              <w:rPr>
                <w:rFonts w:cs="Arial"/>
                <w:color w:val="000000" w:themeColor="text1"/>
                <w:sz w:val="18"/>
                <w:szCs w:val="18"/>
              </w:rPr>
            </w:pPr>
            <w:r w:rsidRPr="00AA34BE">
              <w:rPr>
                <w:rFonts w:cs="Arial"/>
                <w:color w:val="000000" w:themeColor="text1"/>
                <w:sz w:val="18"/>
                <w:szCs w:val="18"/>
              </w:rPr>
              <w:t>Ноември</w:t>
            </w:r>
          </w:p>
        </w:tc>
        <w:tc>
          <w:tcPr>
            <w:tcW w:w="1843" w:type="dxa"/>
            <w:tcBorders>
              <w:top w:val="nil"/>
              <w:left w:val="single" w:sz="4" w:space="0" w:color="auto"/>
              <w:bottom w:val="single" w:sz="4" w:space="0" w:color="auto"/>
              <w:right w:val="single" w:sz="4" w:space="0" w:color="auto"/>
            </w:tcBorders>
            <w:shd w:val="clear" w:color="auto" w:fill="auto"/>
            <w:noWrap/>
            <w:hideMark/>
          </w:tcPr>
          <w:p w14:paraId="7D18E72B" w14:textId="0E06A632"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c>
          <w:tcPr>
            <w:tcW w:w="1700" w:type="dxa"/>
            <w:tcBorders>
              <w:top w:val="nil"/>
              <w:left w:val="nil"/>
              <w:bottom w:val="single" w:sz="4" w:space="0" w:color="auto"/>
              <w:right w:val="single" w:sz="8" w:space="0" w:color="auto"/>
            </w:tcBorders>
            <w:shd w:val="clear" w:color="auto" w:fill="auto"/>
            <w:noWrap/>
            <w:hideMark/>
          </w:tcPr>
          <w:p w14:paraId="3F695EEC" w14:textId="55D7F9F0" w:rsidR="007D36FD" w:rsidRPr="00AA34BE" w:rsidRDefault="007D36FD" w:rsidP="007D36FD">
            <w:pPr>
              <w:ind w:left="709"/>
              <w:jc w:val="right"/>
              <w:rPr>
                <w:rFonts w:cs="Arial"/>
                <w:color w:val="000000" w:themeColor="text1"/>
              </w:rPr>
            </w:pPr>
            <w:r w:rsidRPr="004F28E3">
              <w:rPr>
                <w:rFonts w:cs="Arial"/>
                <w:color w:val="000000" w:themeColor="text1"/>
                <w:sz w:val="20"/>
                <w:szCs w:val="20"/>
                <w:lang w:val="en-US"/>
              </w:rPr>
              <w:t>xxx</w:t>
            </w:r>
          </w:p>
        </w:tc>
      </w:tr>
      <w:tr w:rsidR="007D36FD" w:rsidRPr="00AA34BE" w14:paraId="0E4C0119" w14:textId="77777777" w:rsidTr="00A0438E">
        <w:trPr>
          <w:trHeight w:val="5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5939AA5A" w14:textId="77777777" w:rsidR="007D36FD" w:rsidRPr="00AA34BE" w:rsidRDefault="007D36FD" w:rsidP="007D36FD">
            <w:pPr>
              <w:ind w:left="709"/>
              <w:rPr>
                <w:rFonts w:cs="Arial"/>
                <w:color w:val="000000" w:themeColor="text1"/>
                <w:sz w:val="18"/>
                <w:szCs w:val="18"/>
              </w:rPr>
            </w:pPr>
            <w:r w:rsidRPr="00AA34BE">
              <w:rPr>
                <w:rFonts w:cs="Arial"/>
                <w:color w:val="000000" w:themeColor="text1"/>
                <w:sz w:val="18"/>
                <w:szCs w:val="18"/>
              </w:rPr>
              <w:t>Декември</w:t>
            </w:r>
          </w:p>
        </w:tc>
        <w:tc>
          <w:tcPr>
            <w:tcW w:w="1843" w:type="dxa"/>
            <w:tcBorders>
              <w:top w:val="nil"/>
              <w:left w:val="single" w:sz="4" w:space="0" w:color="auto"/>
              <w:bottom w:val="single" w:sz="8" w:space="0" w:color="auto"/>
              <w:right w:val="single" w:sz="4" w:space="0" w:color="auto"/>
            </w:tcBorders>
            <w:shd w:val="clear" w:color="auto" w:fill="auto"/>
            <w:noWrap/>
            <w:hideMark/>
          </w:tcPr>
          <w:p w14:paraId="1449134B" w14:textId="0E9890CE" w:rsidR="007D36FD" w:rsidRPr="00AA34BE" w:rsidRDefault="007D36FD" w:rsidP="007D36FD">
            <w:pPr>
              <w:ind w:left="709"/>
              <w:jc w:val="right"/>
              <w:rPr>
                <w:rFonts w:cs="Arial"/>
                <w:color w:val="000000" w:themeColor="text1"/>
              </w:rPr>
            </w:pPr>
            <w:r w:rsidRPr="00F512C4">
              <w:rPr>
                <w:rFonts w:cs="Arial"/>
                <w:color w:val="000000" w:themeColor="text1"/>
                <w:sz w:val="20"/>
                <w:szCs w:val="20"/>
                <w:lang w:val="en-US"/>
              </w:rPr>
              <w:t>x xxx</w:t>
            </w:r>
          </w:p>
        </w:tc>
        <w:tc>
          <w:tcPr>
            <w:tcW w:w="1700" w:type="dxa"/>
            <w:tcBorders>
              <w:top w:val="nil"/>
              <w:left w:val="nil"/>
              <w:bottom w:val="single" w:sz="8" w:space="0" w:color="auto"/>
              <w:right w:val="single" w:sz="8" w:space="0" w:color="auto"/>
            </w:tcBorders>
            <w:shd w:val="clear" w:color="auto" w:fill="auto"/>
            <w:noWrap/>
            <w:hideMark/>
          </w:tcPr>
          <w:p w14:paraId="5275DA7E" w14:textId="7A8F3EC6" w:rsidR="007D36FD" w:rsidRPr="00AA34BE" w:rsidRDefault="007D36FD" w:rsidP="007D36FD">
            <w:pPr>
              <w:ind w:left="709"/>
              <w:jc w:val="right"/>
              <w:rPr>
                <w:rFonts w:cs="Arial"/>
                <w:color w:val="000000" w:themeColor="text1"/>
              </w:rPr>
            </w:pPr>
            <w:r w:rsidRPr="00F512C4">
              <w:rPr>
                <w:rFonts w:cs="Arial"/>
                <w:color w:val="000000" w:themeColor="text1"/>
                <w:sz w:val="20"/>
                <w:szCs w:val="20"/>
                <w:lang w:val="en-US"/>
              </w:rPr>
              <w:t>x xxx</w:t>
            </w:r>
          </w:p>
        </w:tc>
      </w:tr>
      <w:tr w:rsidR="007D36FD" w:rsidRPr="00AA34BE" w14:paraId="4E6632D0" w14:textId="77777777" w:rsidTr="00A40125">
        <w:trPr>
          <w:trHeight w:val="5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14D2D016" w14:textId="77777777" w:rsidR="007D36FD" w:rsidRPr="00AA34BE" w:rsidRDefault="007D36FD" w:rsidP="007D36FD">
            <w:pPr>
              <w:ind w:left="709"/>
              <w:rPr>
                <w:rFonts w:cs="Arial"/>
                <w:b/>
                <w:bCs/>
                <w:color w:val="000000" w:themeColor="text1"/>
                <w:sz w:val="18"/>
                <w:szCs w:val="18"/>
              </w:rPr>
            </w:pPr>
            <w:r w:rsidRPr="00AA34BE">
              <w:rPr>
                <w:rFonts w:cs="Arial"/>
                <w:b/>
                <w:bCs/>
                <w:color w:val="000000" w:themeColor="text1"/>
                <w:sz w:val="18"/>
                <w:szCs w:val="18"/>
              </w:rPr>
              <w:t>общо</w:t>
            </w:r>
          </w:p>
        </w:tc>
        <w:tc>
          <w:tcPr>
            <w:tcW w:w="1843" w:type="dxa"/>
            <w:tcBorders>
              <w:top w:val="nil"/>
              <w:left w:val="single" w:sz="4" w:space="0" w:color="auto"/>
              <w:bottom w:val="single" w:sz="8" w:space="0" w:color="auto"/>
              <w:right w:val="single" w:sz="4" w:space="0" w:color="auto"/>
            </w:tcBorders>
            <w:shd w:val="clear" w:color="auto" w:fill="auto"/>
            <w:noWrap/>
            <w:hideMark/>
          </w:tcPr>
          <w:p w14:paraId="768591B6" w14:textId="7A1C0054" w:rsidR="007D36FD" w:rsidRPr="007D36FD" w:rsidRDefault="007D36FD" w:rsidP="007D36FD">
            <w:pPr>
              <w:ind w:left="709"/>
              <w:jc w:val="right"/>
              <w:rPr>
                <w:rFonts w:cs="Arial"/>
                <w:b/>
                <w:bCs/>
                <w:color w:val="000000" w:themeColor="text1"/>
              </w:rPr>
            </w:pPr>
            <w:r w:rsidRPr="007D36FD">
              <w:rPr>
                <w:b/>
                <w:bCs/>
              </w:rPr>
              <w:t>x xxx</w:t>
            </w:r>
          </w:p>
        </w:tc>
        <w:tc>
          <w:tcPr>
            <w:tcW w:w="1700" w:type="dxa"/>
            <w:tcBorders>
              <w:top w:val="nil"/>
              <w:left w:val="nil"/>
              <w:bottom w:val="single" w:sz="8" w:space="0" w:color="auto"/>
              <w:right w:val="single" w:sz="8" w:space="0" w:color="auto"/>
            </w:tcBorders>
            <w:shd w:val="clear" w:color="auto" w:fill="auto"/>
            <w:noWrap/>
            <w:hideMark/>
          </w:tcPr>
          <w:p w14:paraId="7D33FC62" w14:textId="4CD7A580" w:rsidR="007D36FD" w:rsidRPr="007D36FD" w:rsidRDefault="007D36FD" w:rsidP="007D36FD">
            <w:pPr>
              <w:ind w:left="709"/>
              <w:jc w:val="right"/>
              <w:rPr>
                <w:rFonts w:cs="Arial"/>
                <w:b/>
                <w:bCs/>
                <w:color w:val="000000" w:themeColor="text1"/>
              </w:rPr>
            </w:pPr>
            <w:r w:rsidRPr="007D36FD">
              <w:rPr>
                <w:b/>
                <w:bCs/>
              </w:rPr>
              <w:t>x xxx</w:t>
            </w:r>
          </w:p>
        </w:tc>
      </w:tr>
    </w:tbl>
    <w:p w14:paraId="41B82F1A" w14:textId="77777777" w:rsidR="00D923BB" w:rsidRPr="00AA34BE" w:rsidRDefault="00D923BB" w:rsidP="00D923BB">
      <w:pPr>
        <w:ind w:left="709"/>
        <w:rPr>
          <w:rFonts w:cs="Arial"/>
          <w:b/>
          <w:color w:val="000000" w:themeColor="text1"/>
          <w:sz w:val="20"/>
          <w:szCs w:val="20"/>
        </w:rPr>
      </w:pPr>
    </w:p>
    <w:p w14:paraId="51F3D49B" w14:textId="77777777" w:rsidR="00D923BB" w:rsidRPr="00AA34BE" w:rsidRDefault="00D923BB" w:rsidP="00D923BB">
      <w:pPr>
        <w:numPr>
          <w:ilvl w:val="0"/>
          <w:numId w:val="14"/>
        </w:numPr>
        <w:spacing w:before="45" w:after="45" w:line="240" w:lineRule="auto"/>
        <w:ind w:left="709"/>
        <w:rPr>
          <w:rFonts w:cs="Arial"/>
          <w:b/>
          <w:color w:val="000000" w:themeColor="text1"/>
        </w:rPr>
      </w:pPr>
      <w:bookmarkStart w:id="7" w:name="_Hlk114210992"/>
      <w:r w:rsidRPr="00AA34BE">
        <w:rPr>
          <w:rFonts w:cs="Arial"/>
          <w:b/>
          <w:color w:val="000000" w:themeColor="text1"/>
        </w:rPr>
        <w:t>Технологични разходи на топлинна енергия от изтичане на топлоносител от водната топлопреносна мрежа</w:t>
      </w:r>
    </w:p>
    <w:bookmarkEnd w:id="7"/>
    <w:p w14:paraId="1230282F" w14:textId="3EBD70FE" w:rsidR="00D923BB" w:rsidRPr="00C84633" w:rsidRDefault="00D923BB" w:rsidP="00D923BB">
      <w:pPr>
        <w:spacing w:before="20" w:after="45" w:line="240" w:lineRule="auto"/>
        <w:ind w:left="709"/>
        <w:rPr>
          <w:rFonts w:cs="Arial"/>
          <w:b/>
          <w:color w:val="000000" w:themeColor="text1"/>
          <w:lang w:val="en-US"/>
        </w:rPr>
      </w:pPr>
      <w:r w:rsidRPr="00AA34BE">
        <w:rPr>
          <w:rFonts w:cs="Arial"/>
          <w:color w:val="000000" w:themeColor="text1"/>
        </w:rPr>
        <w:t>Загубите на топлоносител – гореща вода и топлинна енергия, са в пряка зависимост от техническото състояние на топлопреносната мрежа. От Фигура 1 е видна тенденцията за увеличаването на загубите на топлинна енергия  поради</w:t>
      </w:r>
      <w:r w:rsidRPr="00AA34BE">
        <w:rPr>
          <w:rFonts w:cs="Arial"/>
          <w:color w:val="000000" w:themeColor="text1"/>
          <w:lang w:val="en-US"/>
        </w:rPr>
        <w:t xml:space="preserve"> </w:t>
      </w:r>
      <w:r w:rsidRPr="00AA34BE">
        <w:rPr>
          <w:rFonts w:cs="Arial"/>
          <w:color w:val="000000" w:themeColor="text1"/>
        </w:rPr>
        <w:t>влошаване на физически и технологични характеристики на стареещата топлопреносна мрежа на ЕВН ТР.</w:t>
      </w:r>
    </w:p>
    <w:p w14:paraId="5C825FCD" w14:textId="664348B6" w:rsidR="00D923BB" w:rsidRPr="00AA34BE" w:rsidRDefault="00D923BB" w:rsidP="00D923BB">
      <w:pPr>
        <w:spacing w:before="45" w:after="90" w:line="240" w:lineRule="auto"/>
        <w:ind w:left="709"/>
        <w:rPr>
          <w:rFonts w:cs="Arial"/>
          <w:color w:val="000000" w:themeColor="text1"/>
        </w:rPr>
      </w:pPr>
      <w:r w:rsidRPr="00AA34BE">
        <w:rPr>
          <w:rFonts w:cs="Arial"/>
          <w:color w:val="000000" w:themeColor="text1"/>
        </w:rPr>
        <w:t xml:space="preserve">През разглежданите ценови години ЕВН ТР продължава да полага всички необходими и възможни усилия да поддържа топлопреносната мрежа в състояние да пренася топлоносител като ограничава загубите му. За тази цел непрекъснато и своевременно отстранява констатираните аварийни пробиви по топлопроводите. На следващата фигура е показан годишният брой отстранени аварийни пробиви. </w:t>
      </w:r>
    </w:p>
    <w:p w14:paraId="238423CC" w14:textId="3E495824" w:rsidR="00AF2818" w:rsidRDefault="00AF2818" w:rsidP="00D923BB">
      <w:pPr>
        <w:spacing w:before="45" w:after="90"/>
        <w:ind w:left="709"/>
        <w:jc w:val="center"/>
        <w:rPr>
          <w:rFonts w:cs="Arial"/>
          <w:color w:val="000000" w:themeColor="text1"/>
        </w:rPr>
      </w:pPr>
      <w:r>
        <w:rPr>
          <w:rFonts w:cs="Arial"/>
          <w:noProof/>
          <w:color w:val="000000" w:themeColor="text1"/>
        </w:rPr>
        <w:lastRenderedPageBreak/>
        <w:drawing>
          <wp:anchor distT="0" distB="0" distL="114300" distR="114300" simplePos="0" relativeHeight="251715584" behindDoc="0" locked="0" layoutInCell="1" allowOverlap="1" wp14:anchorId="3E2D93FA" wp14:editId="3BEAD836">
            <wp:simplePos x="0" y="0"/>
            <wp:positionH relativeFrom="column">
              <wp:posOffset>965835</wp:posOffset>
            </wp:positionH>
            <wp:positionV relativeFrom="paragraph">
              <wp:posOffset>8255</wp:posOffset>
            </wp:positionV>
            <wp:extent cx="4398645" cy="2811145"/>
            <wp:effectExtent l="0" t="0" r="1905" b="8255"/>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98645" cy="2811145"/>
                    </a:xfrm>
                    <a:prstGeom prst="rect">
                      <a:avLst/>
                    </a:prstGeom>
                    <a:noFill/>
                  </pic:spPr>
                </pic:pic>
              </a:graphicData>
            </a:graphic>
            <wp14:sizeRelH relativeFrom="margin">
              <wp14:pctWidth>0</wp14:pctWidth>
            </wp14:sizeRelH>
            <wp14:sizeRelV relativeFrom="margin">
              <wp14:pctHeight>0</wp14:pctHeight>
            </wp14:sizeRelV>
          </wp:anchor>
        </w:drawing>
      </w:r>
    </w:p>
    <w:p w14:paraId="74033469" w14:textId="124D7F1C" w:rsidR="00AF2818" w:rsidRDefault="00AF2818" w:rsidP="00D923BB">
      <w:pPr>
        <w:spacing w:before="45" w:after="90"/>
        <w:ind w:left="709"/>
        <w:jc w:val="center"/>
        <w:rPr>
          <w:rFonts w:cs="Arial"/>
          <w:color w:val="000000" w:themeColor="text1"/>
        </w:rPr>
      </w:pPr>
    </w:p>
    <w:p w14:paraId="779F708F" w14:textId="1DEBAB37" w:rsidR="00AF2818" w:rsidRDefault="00AF2818" w:rsidP="00D923BB">
      <w:pPr>
        <w:spacing w:before="45" w:after="90"/>
        <w:ind w:left="709"/>
        <w:jc w:val="center"/>
        <w:rPr>
          <w:rFonts w:cs="Arial"/>
          <w:color w:val="000000" w:themeColor="text1"/>
        </w:rPr>
      </w:pPr>
    </w:p>
    <w:p w14:paraId="40F35C17" w14:textId="0AD4A588" w:rsidR="00AF2818" w:rsidRDefault="00AF2818" w:rsidP="00D923BB">
      <w:pPr>
        <w:spacing w:before="45" w:after="90"/>
        <w:ind w:left="709"/>
        <w:jc w:val="center"/>
        <w:rPr>
          <w:rFonts w:cs="Arial"/>
          <w:color w:val="000000" w:themeColor="text1"/>
        </w:rPr>
      </w:pPr>
    </w:p>
    <w:p w14:paraId="292D4900" w14:textId="4A013E0C" w:rsidR="00AF2818" w:rsidRDefault="00AF2818" w:rsidP="00D923BB">
      <w:pPr>
        <w:spacing w:before="45" w:after="90"/>
        <w:ind w:left="709"/>
        <w:jc w:val="center"/>
        <w:rPr>
          <w:rFonts w:cs="Arial"/>
          <w:color w:val="000000" w:themeColor="text1"/>
        </w:rPr>
      </w:pPr>
    </w:p>
    <w:p w14:paraId="113F12C1" w14:textId="77777777" w:rsidR="00AF2818" w:rsidRDefault="00AF2818" w:rsidP="00D923BB">
      <w:pPr>
        <w:spacing w:before="45" w:after="90"/>
        <w:ind w:left="709"/>
        <w:jc w:val="center"/>
        <w:rPr>
          <w:rFonts w:cs="Arial"/>
          <w:color w:val="000000" w:themeColor="text1"/>
        </w:rPr>
      </w:pPr>
    </w:p>
    <w:p w14:paraId="324ED923" w14:textId="38AAEB49" w:rsidR="00AF2818" w:rsidRDefault="00AF2818" w:rsidP="00D923BB">
      <w:pPr>
        <w:spacing w:before="45" w:after="90"/>
        <w:ind w:left="709"/>
        <w:jc w:val="center"/>
        <w:rPr>
          <w:rFonts w:cs="Arial"/>
          <w:color w:val="000000" w:themeColor="text1"/>
        </w:rPr>
      </w:pPr>
    </w:p>
    <w:p w14:paraId="5BB2459E" w14:textId="77777777" w:rsidR="00AF2818" w:rsidRDefault="00AF2818" w:rsidP="00D923BB">
      <w:pPr>
        <w:spacing w:before="45" w:after="90"/>
        <w:ind w:left="709"/>
        <w:jc w:val="center"/>
        <w:rPr>
          <w:rFonts w:cs="Arial"/>
          <w:color w:val="000000" w:themeColor="text1"/>
        </w:rPr>
      </w:pPr>
    </w:p>
    <w:p w14:paraId="7EF1586B" w14:textId="77777777" w:rsidR="00AF2818" w:rsidRDefault="00AF2818" w:rsidP="00D923BB">
      <w:pPr>
        <w:spacing w:before="45" w:after="90"/>
        <w:ind w:left="709"/>
        <w:jc w:val="center"/>
        <w:rPr>
          <w:rFonts w:cs="Arial"/>
          <w:color w:val="000000" w:themeColor="text1"/>
        </w:rPr>
      </w:pPr>
    </w:p>
    <w:p w14:paraId="433D40AF" w14:textId="77777777" w:rsidR="00AF2818" w:rsidRDefault="00AF2818" w:rsidP="00D923BB">
      <w:pPr>
        <w:spacing w:before="45" w:after="90"/>
        <w:ind w:left="709"/>
        <w:jc w:val="center"/>
        <w:rPr>
          <w:rFonts w:cs="Arial"/>
          <w:color w:val="000000" w:themeColor="text1"/>
        </w:rPr>
      </w:pPr>
    </w:p>
    <w:p w14:paraId="08F3759F" w14:textId="77777777" w:rsidR="00AF2818" w:rsidRDefault="00AF2818" w:rsidP="00D923BB">
      <w:pPr>
        <w:spacing w:before="45" w:after="90"/>
        <w:ind w:left="709"/>
        <w:jc w:val="center"/>
        <w:rPr>
          <w:rFonts w:cs="Arial"/>
          <w:color w:val="000000" w:themeColor="text1"/>
        </w:rPr>
      </w:pPr>
    </w:p>
    <w:p w14:paraId="750C2563" w14:textId="77777777" w:rsidR="00AF2818" w:rsidRDefault="00AF2818" w:rsidP="00D923BB">
      <w:pPr>
        <w:spacing w:before="45" w:after="90"/>
        <w:ind w:left="709"/>
        <w:jc w:val="center"/>
        <w:rPr>
          <w:rFonts w:cs="Arial"/>
          <w:color w:val="000000" w:themeColor="text1"/>
        </w:rPr>
      </w:pPr>
    </w:p>
    <w:p w14:paraId="0D022310" w14:textId="77777777" w:rsidR="00AF2818" w:rsidRDefault="00AF2818" w:rsidP="00D923BB">
      <w:pPr>
        <w:spacing w:before="45" w:after="90"/>
        <w:ind w:left="709"/>
        <w:jc w:val="center"/>
        <w:rPr>
          <w:rFonts w:cs="Arial"/>
          <w:color w:val="000000" w:themeColor="text1"/>
        </w:rPr>
      </w:pPr>
    </w:p>
    <w:p w14:paraId="10A21551" w14:textId="6E033B2D" w:rsidR="00D923BB" w:rsidRPr="00AA34BE" w:rsidRDefault="00D923BB" w:rsidP="00D923BB">
      <w:pPr>
        <w:spacing w:before="45" w:after="90"/>
        <w:ind w:left="709"/>
        <w:jc w:val="center"/>
        <w:rPr>
          <w:rFonts w:cs="Arial"/>
          <w:color w:val="000000" w:themeColor="text1"/>
        </w:rPr>
      </w:pPr>
      <w:r w:rsidRPr="00AA34BE">
        <w:rPr>
          <w:rFonts w:cs="Arial"/>
          <w:color w:val="000000" w:themeColor="text1"/>
        </w:rPr>
        <w:t>Фиг. 4</w:t>
      </w:r>
    </w:p>
    <w:p w14:paraId="35186FBC" w14:textId="047BCCCE" w:rsidR="00D923BB" w:rsidRPr="00AA34BE" w:rsidRDefault="00D923BB" w:rsidP="00D923BB">
      <w:pPr>
        <w:spacing w:before="45" w:after="90" w:line="240" w:lineRule="auto"/>
        <w:ind w:left="709"/>
        <w:rPr>
          <w:rFonts w:cs="Arial"/>
          <w:color w:val="000000" w:themeColor="text1"/>
        </w:rPr>
      </w:pPr>
      <w:r w:rsidRPr="00AA34BE">
        <w:rPr>
          <w:rFonts w:cs="Arial"/>
          <w:color w:val="000000" w:themeColor="text1"/>
        </w:rPr>
        <w:t xml:space="preserve">Успоредно с тези мерки, дружеството и през тази година продължи да подменя остарели </w:t>
      </w:r>
      <w:proofErr w:type="spellStart"/>
      <w:r w:rsidRPr="00AA34BE">
        <w:rPr>
          <w:rFonts w:cs="Arial"/>
          <w:color w:val="000000" w:themeColor="text1"/>
        </w:rPr>
        <w:t>салникови</w:t>
      </w:r>
      <w:proofErr w:type="spellEnd"/>
      <w:r w:rsidRPr="00AA34BE">
        <w:rPr>
          <w:rFonts w:cs="Arial"/>
          <w:color w:val="000000" w:themeColor="text1"/>
        </w:rPr>
        <w:t xml:space="preserve"> </w:t>
      </w:r>
      <w:proofErr w:type="spellStart"/>
      <w:r w:rsidRPr="00AA34BE">
        <w:rPr>
          <w:rFonts w:cs="Arial"/>
          <w:color w:val="000000" w:themeColor="text1"/>
        </w:rPr>
        <w:t>компенсатори</w:t>
      </w:r>
      <w:proofErr w:type="spellEnd"/>
      <w:r w:rsidRPr="00AA34BE">
        <w:rPr>
          <w:rFonts w:cs="Arial"/>
          <w:color w:val="000000" w:themeColor="text1"/>
        </w:rPr>
        <w:t xml:space="preserve"> с </w:t>
      </w:r>
      <w:proofErr w:type="spellStart"/>
      <w:r w:rsidRPr="00AA34BE">
        <w:rPr>
          <w:rFonts w:cs="Arial"/>
          <w:color w:val="000000" w:themeColor="text1"/>
        </w:rPr>
        <w:t>линзови</w:t>
      </w:r>
      <w:proofErr w:type="spellEnd"/>
      <w:r w:rsidRPr="00AA34BE">
        <w:rPr>
          <w:rFonts w:cs="Arial"/>
          <w:color w:val="000000" w:themeColor="text1"/>
        </w:rPr>
        <w:t>. За съжаление тези действия не са достатъчни, за да бъде преустановено увеличаването на загубите и тази тенденция да бъде обърната в посока към намаляването им.</w:t>
      </w:r>
    </w:p>
    <w:p w14:paraId="058358B1" w14:textId="689464F2" w:rsidR="00D923BB" w:rsidRPr="00AA34BE" w:rsidRDefault="00D923BB" w:rsidP="00D923BB">
      <w:pPr>
        <w:spacing w:before="45" w:after="90" w:line="240" w:lineRule="auto"/>
        <w:ind w:left="709"/>
        <w:rPr>
          <w:rFonts w:cs="Arial"/>
          <w:color w:val="000000" w:themeColor="text1"/>
        </w:rPr>
      </w:pPr>
      <w:r w:rsidRPr="00AA34BE">
        <w:rPr>
          <w:rFonts w:cs="Arial"/>
          <w:color w:val="000000" w:themeColor="text1"/>
        </w:rPr>
        <w:t xml:space="preserve">В периода от 2014г. до 2023г., </w:t>
      </w:r>
      <w:proofErr w:type="spellStart"/>
      <w:r w:rsidRPr="00AA34BE">
        <w:rPr>
          <w:rFonts w:cs="Arial"/>
          <w:color w:val="000000" w:themeColor="text1"/>
        </w:rPr>
        <w:t>рехабилитираните</w:t>
      </w:r>
      <w:proofErr w:type="spellEnd"/>
      <w:r w:rsidRPr="00AA34BE">
        <w:rPr>
          <w:rFonts w:cs="Arial"/>
          <w:color w:val="000000" w:themeColor="text1"/>
        </w:rPr>
        <w:t xml:space="preserve"> и новопостроените топлопреносни трасета са с обща дължина от </w:t>
      </w:r>
      <w:proofErr w:type="spellStart"/>
      <w:r w:rsidR="00702BF8">
        <w:rPr>
          <w:rFonts w:cs="Arial"/>
          <w:color w:val="000000" w:themeColor="text1"/>
          <w:lang w:val="en-US"/>
        </w:rPr>
        <w:t>xx,x</w:t>
      </w:r>
      <w:proofErr w:type="spellEnd"/>
      <w:r w:rsidRPr="00AA34BE">
        <w:rPr>
          <w:rFonts w:cs="Arial"/>
          <w:color w:val="000000" w:themeColor="text1"/>
        </w:rPr>
        <w:t xml:space="preserve"> </w:t>
      </w:r>
      <w:proofErr w:type="spellStart"/>
      <w:r w:rsidRPr="00AA34BE">
        <w:rPr>
          <w:rFonts w:cs="Arial"/>
          <w:color w:val="000000" w:themeColor="text1"/>
        </w:rPr>
        <w:t>km</w:t>
      </w:r>
      <w:proofErr w:type="spellEnd"/>
      <w:r w:rsidRPr="00AA34BE">
        <w:rPr>
          <w:rFonts w:cs="Arial"/>
          <w:color w:val="000000" w:themeColor="text1"/>
        </w:rPr>
        <w:t xml:space="preserve">, което представлява едва </w:t>
      </w:r>
      <w:proofErr w:type="spellStart"/>
      <w:r w:rsidR="00702BF8">
        <w:rPr>
          <w:rFonts w:cs="Arial"/>
          <w:color w:val="000000" w:themeColor="text1"/>
          <w:lang w:val="en-US"/>
        </w:rPr>
        <w:t>x,x</w:t>
      </w:r>
      <w:proofErr w:type="spellEnd"/>
      <w:r w:rsidRPr="00AA34BE">
        <w:rPr>
          <w:rFonts w:cs="Arial"/>
          <w:color w:val="000000" w:themeColor="text1"/>
        </w:rPr>
        <w:t xml:space="preserve"> % от общата дължина на мрежата към края на 2023г.  – </w:t>
      </w:r>
      <w:r w:rsidR="00702BF8">
        <w:rPr>
          <w:rFonts w:cs="Arial"/>
          <w:color w:val="000000" w:themeColor="text1"/>
          <w:lang w:val="en-US"/>
        </w:rPr>
        <w:t>xxx</w:t>
      </w:r>
      <w:r w:rsidRPr="00AA34BE">
        <w:rPr>
          <w:rFonts w:cs="Arial"/>
          <w:color w:val="000000" w:themeColor="text1"/>
        </w:rPr>
        <w:t>,</w:t>
      </w:r>
      <w:r w:rsidR="00702BF8">
        <w:rPr>
          <w:rFonts w:cs="Arial"/>
          <w:color w:val="000000" w:themeColor="text1"/>
          <w:lang w:val="en-US"/>
        </w:rPr>
        <w:t>x</w:t>
      </w:r>
      <w:r w:rsidRPr="00AA34BE">
        <w:rPr>
          <w:rFonts w:cs="Arial"/>
          <w:color w:val="000000" w:themeColor="text1"/>
        </w:rPr>
        <w:t xml:space="preserve"> </w:t>
      </w:r>
      <w:proofErr w:type="spellStart"/>
      <w:r w:rsidRPr="00AA34BE">
        <w:rPr>
          <w:rFonts w:cs="Arial"/>
          <w:color w:val="000000" w:themeColor="text1"/>
        </w:rPr>
        <w:t>km</w:t>
      </w:r>
      <w:proofErr w:type="spellEnd"/>
      <w:r w:rsidRPr="00AA34BE">
        <w:rPr>
          <w:rFonts w:cs="Arial"/>
          <w:color w:val="000000" w:themeColor="text1"/>
        </w:rPr>
        <w:t xml:space="preserve">. </w:t>
      </w:r>
    </w:p>
    <w:p w14:paraId="1AEE262A" w14:textId="09B6FB66" w:rsidR="00D923BB" w:rsidRPr="00AA34BE" w:rsidRDefault="00D923BB" w:rsidP="00D923BB">
      <w:pPr>
        <w:spacing w:before="45" w:after="90" w:line="240" w:lineRule="auto"/>
        <w:ind w:left="709"/>
        <w:rPr>
          <w:rFonts w:cs="Arial"/>
          <w:color w:val="000000" w:themeColor="text1"/>
        </w:rPr>
      </w:pPr>
      <w:r w:rsidRPr="00AA34BE">
        <w:rPr>
          <w:rFonts w:cs="Arial"/>
          <w:color w:val="000000" w:themeColor="text1"/>
        </w:rPr>
        <w:t>Въпреки запазването на темпа на отстраняване на нови пробиви през 202</w:t>
      </w:r>
      <w:r w:rsidRPr="00AA34BE">
        <w:rPr>
          <w:rFonts w:cs="Arial"/>
          <w:color w:val="000000" w:themeColor="text1"/>
          <w:lang w:val="en-US"/>
        </w:rPr>
        <w:t>3</w:t>
      </w:r>
      <w:r w:rsidRPr="00AA34BE">
        <w:rPr>
          <w:rFonts w:cs="Arial"/>
          <w:color w:val="000000" w:themeColor="text1"/>
        </w:rPr>
        <w:t xml:space="preserve"> г. не отчитаме тенденция за намаление на загубите на топлинна енергия от </w:t>
      </w:r>
      <w:proofErr w:type="spellStart"/>
      <w:r w:rsidRPr="00AA34BE">
        <w:rPr>
          <w:rFonts w:cs="Arial"/>
          <w:color w:val="000000" w:themeColor="text1"/>
        </w:rPr>
        <w:t>подпитка</w:t>
      </w:r>
      <w:proofErr w:type="spellEnd"/>
      <w:r w:rsidRPr="00AA34BE">
        <w:rPr>
          <w:rFonts w:cs="Arial"/>
          <w:color w:val="000000" w:themeColor="text1"/>
        </w:rPr>
        <w:t xml:space="preserve">, в следствие на което за ценовия период е прието, че загубите на топлинна енергия от </w:t>
      </w:r>
      <w:proofErr w:type="spellStart"/>
      <w:r w:rsidRPr="00AA34BE">
        <w:rPr>
          <w:rFonts w:cs="Arial"/>
          <w:color w:val="000000" w:themeColor="text1"/>
        </w:rPr>
        <w:t>подпитка</w:t>
      </w:r>
      <w:proofErr w:type="spellEnd"/>
      <w:r w:rsidRPr="00AA34BE">
        <w:rPr>
          <w:rFonts w:cs="Arial"/>
          <w:color w:val="000000" w:themeColor="text1"/>
        </w:rPr>
        <w:t xml:space="preserve"> ще са занижени с </w:t>
      </w:r>
      <w:r w:rsidR="00702BF8">
        <w:rPr>
          <w:rFonts w:cs="Arial"/>
          <w:color w:val="000000" w:themeColor="text1"/>
          <w:lang w:val="en-US"/>
        </w:rPr>
        <w:t>x</w:t>
      </w:r>
      <w:r w:rsidRPr="00AA34BE">
        <w:rPr>
          <w:rFonts w:cs="Arial"/>
          <w:color w:val="000000" w:themeColor="text1"/>
        </w:rPr>
        <w:t xml:space="preserve"> % спрямо отчетените през 2023 г. и очакваният им размер е </w:t>
      </w:r>
      <w:r w:rsidR="00702BF8">
        <w:rPr>
          <w:rFonts w:cs="Arial"/>
          <w:b/>
          <w:bCs/>
          <w:color w:val="000000" w:themeColor="text1"/>
          <w:lang w:val="en-US"/>
        </w:rPr>
        <w:t>XX XXX</w:t>
      </w:r>
      <w:r w:rsidRPr="00AA34BE">
        <w:rPr>
          <w:rFonts w:cs="Arial"/>
          <w:b/>
          <w:bCs/>
          <w:color w:val="000000" w:themeColor="text1"/>
        </w:rPr>
        <w:t xml:space="preserve"> MWh</w:t>
      </w:r>
      <w:r w:rsidRPr="00AA34BE">
        <w:rPr>
          <w:rFonts w:cs="Arial"/>
          <w:color w:val="000000" w:themeColor="text1"/>
        </w:rPr>
        <w:t xml:space="preserve">. </w:t>
      </w:r>
    </w:p>
    <w:p w14:paraId="3D3AE503" w14:textId="772C0FDD" w:rsidR="00D923BB" w:rsidRPr="00AA34BE" w:rsidRDefault="00D923BB" w:rsidP="00D923BB">
      <w:pPr>
        <w:spacing w:before="45" w:after="45" w:line="240" w:lineRule="auto"/>
        <w:ind w:left="709"/>
        <w:rPr>
          <w:rFonts w:cs="Arial"/>
          <w:color w:val="000000" w:themeColor="text1"/>
        </w:rPr>
      </w:pPr>
      <w:r w:rsidRPr="00AA34BE">
        <w:rPr>
          <w:rFonts w:cs="Arial"/>
          <w:color w:val="000000" w:themeColor="text1"/>
        </w:rPr>
        <w:t>В следващата таблица е представено разпределението по месеци в сравнение с отчетените разходи през календарната 2023 г.</w:t>
      </w:r>
    </w:p>
    <w:tbl>
      <w:tblPr>
        <w:tblW w:w="5258" w:type="dxa"/>
        <w:jc w:val="center"/>
        <w:tblCellMar>
          <w:left w:w="70" w:type="dxa"/>
          <w:right w:w="70" w:type="dxa"/>
        </w:tblCellMar>
        <w:tblLook w:val="04A0" w:firstRow="1" w:lastRow="0" w:firstColumn="1" w:lastColumn="0" w:noHBand="0" w:noVBand="1"/>
      </w:tblPr>
      <w:tblGrid>
        <w:gridCol w:w="1730"/>
        <w:gridCol w:w="1828"/>
        <w:gridCol w:w="1700"/>
      </w:tblGrid>
      <w:tr w:rsidR="00AA34BE" w:rsidRPr="00AA34BE" w14:paraId="3EC5ABBD" w14:textId="77777777" w:rsidTr="006240A3">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7707012" w14:textId="77777777" w:rsidR="00D923BB" w:rsidRPr="00AA34BE" w:rsidRDefault="00D923BB" w:rsidP="006240A3">
            <w:pPr>
              <w:ind w:left="709"/>
              <w:rPr>
                <w:rFonts w:cs="Arial"/>
                <w:color w:val="000000" w:themeColor="text1"/>
                <w:sz w:val="18"/>
                <w:szCs w:val="18"/>
              </w:rPr>
            </w:pPr>
            <w:r w:rsidRPr="00AA34BE">
              <w:rPr>
                <w:rFonts w:cs="Arial"/>
                <w:color w:val="000000" w:themeColor="text1"/>
                <w:sz w:val="18"/>
                <w:szCs w:val="18"/>
              </w:rPr>
              <w:t>МЕСЕЦ</w:t>
            </w:r>
          </w:p>
        </w:tc>
        <w:tc>
          <w:tcPr>
            <w:tcW w:w="1828" w:type="dxa"/>
            <w:tcBorders>
              <w:top w:val="single" w:sz="8" w:space="0" w:color="auto"/>
              <w:left w:val="nil"/>
              <w:bottom w:val="single" w:sz="4" w:space="0" w:color="auto"/>
              <w:right w:val="single" w:sz="4" w:space="0" w:color="auto"/>
            </w:tcBorders>
            <w:shd w:val="clear" w:color="auto" w:fill="auto"/>
            <w:noWrap/>
            <w:vAlign w:val="bottom"/>
            <w:hideMark/>
          </w:tcPr>
          <w:p w14:paraId="4F881D0F"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календарна 2023</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14:paraId="33CF9CF8"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2024/2025</w:t>
            </w:r>
          </w:p>
        </w:tc>
      </w:tr>
      <w:tr w:rsidR="00AA34BE" w:rsidRPr="00AA34BE" w14:paraId="53B2FD27" w14:textId="77777777" w:rsidTr="006240A3">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405A3CBD" w14:textId="77777777" w:rsidR="00D923BB" w:rsidRPr="00AA34BE" w:rsidRDefault="00D923BB" w:rsidP="006240A3">
            <w:pPr>
              <w:ind w:left="709"/>
              <w:rPr>
                <w:rFonts w:cs="Arial"/>
                <w:color w:val="000000" w:themeColor="text1"/>
                <w:sz w:val="18"/>
                <w:szCs w:val="18"/>
              </w:rPr>
            </w:pPr>
            <w:r w:rsidRPr="00AA34BE">
              <w:rPr>
                <w:rFonts w:cs="Arial"/>
                <w:color w:val="000000" w:themeColor="text1"/>
                <w:sz w:val="18"/>
                <w:szCs w:val="18"/>
              </w:rPr>
              <w:t> </w:t>
            </w:r>
          </w:p>
        </w:tc>
        <w:tc>
          <w:tcPr>
            <w:tcW w:w="1828" w:type="dxa"/>
            <w:tcBorders>
              <w:top w:val="nil"/>
              <w:left w:val="nil"/>
              <w:bottom w:val="single" w:sz="4" w:space="0" w:color="auto"/>
              <w:right w:val="single" w:sz="4" w:space="0" w:color="auto"/>
            </w:tcBorders>
            <w:shd w:val="clear" w:color="auto" w:fill="auto"/>
            <w:vAlign w:val="bottom"/>
            <w:hideMark/>
          </w:tcPr>
          <w:p w14:paraId="60D8F8A6" w14:textId="77777777" w:rsidR="00D923BB" w:rsidRPr="00AA34BE" w:rsidRDefault="00D923BB" w:rsidP="006240A3">
            <w:pPr>
              <w:ind w:left="709"/>
              <w:jc w:val="center"/>
              <w:rPr>
                <w:rFonts w:cs="Arial"/>
                <w:color w:val="000000" w:themeColor="text1"/>
                <w:sz w:val="18"/>
                <w:szCs w:val="18"/>
              </w:rPr>
            </w:pPr>
            <w:proofErr w:type="spellStart"/>
            <w:r w:rsidRPr="00AA34BE">
              <w:rPr>
                <w:rFonts w:cs="Arial"/>
                <w:color w:val="000000" w:themeColor="text1"/>
                <w:sz w:val="18"/>
                <w:szCs w:val="18"/>
              </w:rPr>
              <w:t>подпитка</w:t>
            </w:r>
            <w:proofErr w:type="spellEnd"/>
          </w:p>
        </w:tc>
        <w:tc>
          <w:tcPr>
            <w:tcW w:w="1700" w:type="dxa"/>
            <w:tcBorders>
              <w:top w:val="nil"/>
              <w:left w:val="nil"/>
              <w:bottom w:val="single" w:sz="4" w:space="0" w:color="auto"/>
              <w:right w:val="single" w:sz="8" w:space="0" w:color="auto"/>
            </w:tcBorders>
            <w:shd w:val="clear" w:color="auto" w:fill="auto"/>
            <w:vAlign w:val="bottom"/>
            <w:hideMark/>
          </w:tcPr>
          <w:p w14:paraId="7EC7D7E9" w14:textId="77777777" w:rsidR="00D923BB" w:rsidRPr="00AA34BE" w:rsidRDefault="00D923BB" w:rsidP="006240A3">
            <w:pPr>
              <w:ind w:left="709"/>
              <w:jc w:val="center"/>
              <w:rPr>
                <w:rFonts w:cs="Arial"/>
                <w:color w:val="000000" w:themeColor="text1"/>
                <w:sz w:val="18"/>
                <w:szCs w:val="18"/>
              </w:rPr>
            </w:pPr>
            <w:proofErr w:type="spellStart"/>
            <w:r w:rsidRPr="00AA34BE">
              <w:rPr>
                <w:rFonts w:cs="Arial"/>
                <w:color w:val="000000" w:themeColor="text1"/>
                <w:sz w:val="18"/>
                <w:szCs w:val="18"/>
              </w:rPr>
              <w:t>подпитка</w:t>
            </w:r>
            <w:proofErr w:type="spellEnd"/>
          </w:p>
        </w:tc>
      </w:tr>
      <w:tr w:rsidR="00AA34BE" w:rsidRPr="00AA34BE" w14:paraId="7EE11D41" w14:textId="77777777" w:rsidTr="006240A3">
        <w:trPr>
          <w:trHeight w:val="227"/>
          <w:jc w:val="center"/>
        </w:trPr>
        <w:tc>
          <w:tcPr>
            <w:tcW w:w="1730" w:type="dxa"/>
            <w:tcBorders>
              <w:top w:val="nil"/>
              <w:left w:val="single" w:sz="8" w:space="0" w:color="auto"/>
              <w:bottom w:val="nil"/>
              <w:right w:val="single" w:sz="4" w:space="0" w:color="auto"/>
            </w:tcBorders>
            <w:shd w:val="clear" w:color="auto" w:fill="auto"/>
            <w:noWrap/>
            <w:vAlign w:val="bottom"/>
            <w:hideMark/>
          </w:tcPr>
          <w:p w14:paraId="14A6B695"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w:t>
            </w:r>
          </w:p>
        </w:tc>
        <w:tc>
          <w:tcPr>
            <w:tcW w:w="1828" w:type="dxa"/>
            <w:tcBorders>
              <w:top w:val="nil"/>
              <w:left w:val="nil"/>
              <w:bottom w:val="nil"/>
              <w:right w:val="single" w:sz="4" w:space="0" w:color="auto"/>
            </w:tcBorders>
            <w:shd w:val="clear" w:color="auto" w:fill="auto"/>
            <w:noWrap/>
            <w:vAlign w:val="bottom"/>
            <w:hideMark/>
          </w:tcPr>
          <w:p w14:paraId="5AB73DCE"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MWh</w:t>
            </w:r>
          </w:p>
        </w:tc>
        <w:tc>
          <w:tcPr>
            <w:tcW w:w="1700" w:type="dxa"/>
            <w:tcBorders>
              <w:top w:val="nil"/>
              <w:left w:val="nil"/>
              <w:bottom w:val="nil"/>
              <w:right w:val="single" w:sz="8" w:space="0" w:color="auto"/>
            </w:tcBorders>
            <w:shd w:val="clear" w:color="auto" w:fill="auto"/>
            <w:noWrap/>
            <w:vAlign w:val="bottom"/>
            <w:hideMark/>
          </w:tcPr>
          <w:p w14:paraId="42CAF335"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MWh</w:t>
            </w:r>
          </w:p>
        </w:tc>
      </w:tr>
      <w:tr w:rsidR="00702BF8" w:rsidRPr="00AA34BE" w14:paraId="1D3F802A" w14:textId="77777777" w:rsidTr="00A34927">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D2C4120"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Януари</w:t>
            </w:r>
          </w:p>
        </w:tc>
        <w:tc>
          <w:tcPr>
            <w:tcW w:w="1828" w:type="dxa"/>
            <w:tcBorders>
              <w:top w:val="single" w:sz="8" w:space="0" w:color="auto"/>
              <w:left w:val="single" w:sz="4" w:space="0" w:color="auto"/>
              <w:bottom w:val="single" w:sz="4" w:space="0" w:color="auto"/>
              <w:right w:val="single" w:sz="4" w:space="0" w:color="auto"/>
            </w:tcBorders>
            <w:shd w:val="clear" w:color="auto" w:fill="auto"/>
            <w:noWrap/>
            <w:hideMark/>
          </w:tcPr>
          <w:p w14:paraId="45CB1B80" w14:textId="774DA8D7" w:rsidR="00702BF8" w:rsidRPr="00702BF8" w:rsidRDefault="00702BF8" w:rsidP="00702BF8">
            <w:pPr>
              <w:ind w:left="709"/>
              <w:jc w:val="right"/>
              <w:rPr>
                <w:rFonts w:cs="Arial"/>
                <w:color w:val="000000" w:themeColor="text1"/>
                <w:lang w:val="en-US"/>
              </w:rPr>
            </w:pPr>
            <w:r w:rsidRPr="00F92A8C">
              <w:rPr>
                <w:rFonts w:cs="Arial"/>
                <w:color w:val="000000" w:themeColor="text1"/>
                <w:sz w:val="20"/>
                <w:szCs w:val="20"/>
                <w:lang w:val="en-US"/>
              </w:rPr>
              <w:t>x xxx</w:t>
            </w:r>
          </w:p>
        </w:tc>
        <w:tc>
          <w:tcPr>
            <w:tcW w:w="1700" w:type="dxa"/>
            <w:tcBorders>
              <w:top w:val="single" w:sz="8" w:space="0" w:color="auto"/>
              <w:left w:val="nil"/>
              <w:bottom w:val="single" w:sz="4" w:space="0" w:color="auto"/>
              <w:right w:val="single" w:sz="8" w:space="0" w:color="auto"/>
            </w:tcBorders>
            <w:shd w:val="clear" w:color="auto" w:fill="auto"/>
            <w:noWrap/>
            <w:hideMark/>
          </w:tcPr>
          <w:p w14:paraId="1BEAE427" w14:textId="3C9A1B63"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702BF8" w:rsidRPr="00AA34BE" w14:paraId="7C59E58C" w14:textId="77777777" w:rsidTr="00A34927">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2824967D"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Февруари</w:t>
            </w:r>
          </w:p>
        </w:tc>
        <w:tc>
          <w:tcPr>
            <w:tcW w:w="1828" w:type="dxa"/>
            <w:tcBorders>
              <w:top w:val="nil"/>
              <w:left w:val="single" w:sz="4" w:space="0" w:color="auto"/>
              <w:bottom w:val="single" w:sz="4" w:space="0" w:color="auto"/>
              <w:right w:val="single" w:sz="4" w:space="0" w:color="auto"/>
            </w:tcBorders>
            <w:shd w:val="clear" w:color="auto" w:fill="auto"/>
            <w:noWrap/>
            <w:hideMark/>
          </w:tcPr>
          <w:p w14:paraId="1EADFAFA" w14:textId="09C5A93A"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1381F9D4" w14:textId="11B20489"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702BF8" w:rsidRPr="00AA34BE" w14:paraId="5473B773" w14:textId="77777777" w:rsidTr="00A34927">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FC81A28"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Март</w:t>
            </w:r>
          </w:p>
        </w:tc>
        <w:tc>
          <w:tcPr>
            <w:tcW w:w="1828" w:type="dxa"/>
            <w:tcBorders>
              <w:top w:val="nil"/>
              <w:left w:val="single" w:sz="4" w:space="0" w:color="auto"/>
              <w:bottom w:val="single" w:sz="4" w:space="0" w:color="auto"/>
              <w:right w:val="single" w:sz="4" w:space="0" w:color="auto"/>
            </w:tcBorders>
            <w:shd w:val="clear" w:color="auto" w:fill="auto"/>
            <w:noWrap/>
            <w:hideMark/>
          </w:tcPr>
          <w:p w14:paraId="5AA03264" w14:textId="4EA79DB0"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4EBA1991" w14:textId="32FA11AE"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702BF8" w:rsidRPr="00AA34BE" w14:paraId="3F5529F8" w14:textId="77777777" w:rsidTr="00A34927">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651A691"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Април</w:t>
            </w:r>
          </w:p>
        </w:tc>
        <w:tc>
          <w:tcPr>
            <w:tcW w:w="1828" w:type="dxa"/>
            <w:tcBorders>
              <w:top w:val="nil"/>
              <w:left w:val="single" w:sz="4" w:space="0" w:color="auto"/>
              <w:bottom w:val="single" w:sz="4" w:space="0" w:color="auto"/>
              <w:right w:val="single" w:sz="4" w:space="0" w:color="auto"/>
            </w:tcBorders>
            <w:shd w:val="clear" w:color="auto" w:fill="auto"/>
            <w:noWrap/>
            <w:hideMark/>
          </w:tcPr>
          <w:p w14:paraId="3570092E" w14:textId="6EE21846"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261CF0F8" w14:textId="11EC45EB"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702BF8" w:rsidRPr="00AA34BE" w14:paraId="0898F9BF" w14:textId="77777777" w:rsidTr="00A34927">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4137DAB2"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Май</w:t>
            </w:r>
          </w:p>
        </w:tc>
        <w:tc>
          <w:tcPr>
            <w:tcW w:w="1828" w:type="dxa"/>
            <w:tcBorders>
              <w:top w:val="nil"/>
              <w:left w:val="single" w:sz="4" w:space="0" w:color="auto"/>
              <w:bottom w:val="single" w:sz="4" w:space="0" w:color="auto"/>
              <w:right w:val="single" w:sz="4" w:space="0" w:color="auto"/>
            </w:tcBorders>
            <w:shd w:val="clear" w:color="auto" w:fill="auto"/>
            <w:noWrap/>
            <w:hideMark/>
          </w:tcPr>
          <w:p w14:paraId="16CDC312" w14:textId="4E39CA7C"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6EC14C4C" w14:textId="14124D86"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702BF8" w:rsidRPr="00AA34BE" w14:paraId="03E412C6" w14:textId="77777777" w:rsidTr="00A34927">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FB1CADB"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Юни</w:t>
            </w:r>
          </w:p>
        </w:tc>
        <w:tc>
          <w:tcPr>
            <w:tcW w:w="1828" w:type="dxa"/>
            <w:tcBorders>
              <w:top w:val="nil"/>
              <w:left w:val="single" w:sz="4" w:space="0" w:color="auto"/>
              <w:bottom w:val="single" w:sz="4" w:space="0" w:color="auto"/>
              <w:right w:val="single" w:sz="4" w:space="0" w:color="auto"/>
            </w:tcBorders>
            <w:shd w:val="clear" w:color="auto" w:fill="auto"/>
            <w:noWrap/>
            <w:hideMark/>
          </w:tcPr>
          <w:p w14:paraId="12C035C9" w14:textId="6A27B4E1"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72DC2E2B" w14:textId="0F9D4245"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702BF8" w:rsidRPr="00AA34BE" w14:paraId="058AF0AE" w14:textId="77777777" w:rsidTr="00A34927">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5FB0DFD0"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Юли</w:t>
            </w:r>
          </w:p>
        </w:tc>
        <w:tc>
          <w:tcPr>
            <w:tcW w:w="1828" w:type="dxa"/>
            <w:tcBorders>
              <w:top w:val="nil"/>
              <w:left w:val="single" w:sz="4" w:space="0" w:color="auto"/>
              <w:bottom w:val="single" w:sz="4" w:space="0" w:color="auto"/>
              <w:right w:val="single" w:sz="4" w:space="0" w:color="auto"/>
            </w:tcBorders>
            <w:shd w:val="clear" w:color="auto" w:fill="auto"/>
            <w:noWrap/>
            <w:hideMark/>
          </w:tcPr>
          <w:p w14:paraId="1F871D02" w14:textId="5AFCF0EB"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1D70A587" w14:textId="7A0C44B2"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702BF8" w:rsidRPr="00AA34BE" w14:paraId="1FA3F4C8" w14:textId="77777777" w:rsidTr="00A34927">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3E400560"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Август</w:t>
            </w:r>
          </w:p>
        </w:tc>
        <w:tc>
          <w:tcPr>
            <w:tcW w:w="1828" w:type="dxa"/>
            <w:tcBorders>
              <w:top w:val="nil"/>
              <w:left w:val="single" w:sz="4" w:space="0" w:color="auto"/>
              <w:bottom w:val="single" w:sz="4" w:space="0" w:color="auto"/>
              <w:right w:val="single" w:sz="4" w:space="0" w:color="auto"/>
            </w:tcBorders>
            <w:shd w:val="clear" w:color="auto" w:fill="auto"/>
            <w:noWrap/>
            <w:hideMark/>
          </w:tcPr>
          <w:p w14:paraId="391AF643" w14:textId="5C693FD2"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5A663FA1" w14:textId="7ADAEC0C"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702BF8" w:rsidRPr="00AA34BE" w14:paraId="3255DE84" w14:textId="77777777" w:rsidTr="00A34927">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FF268B5"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Септември</w:t>
            </w:r>
          </w:p>
        </w:tc>
        <w:tc>
          <w:tcPr>
            <w:tcW w:w="1828" w:type="dxa"/>
            <w:tcBorders>
              <w:top w:val="nil"/>
              <w:left w:val="single" w:sz="4" w:space="0" w:color="auto"/>
              <w:bottom w:val="single" w:sz="4" w:space="0" w:color="auto"/>
              <w:right w:val="single" w:sz="4" w:space="0" w:color="auto"/>
            </w:tcBorders>
            <w:shd w:val="clear" w:color="auto" w:fill="auto"/>
            <w:noWrap/>
            <w:hideMark/>
          </w:tcPr>
          <w:p w14:paraId="41A7CF9B" w14:textId="55095BCB"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5DD43DDB" w14:textId="497A0A33"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702BF8" w:rsidRPr="00AA34BE" w14:paraId="0F6D52CA" w14:textId="77777777" w:rsidTr="00A34927">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23462D45"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Октомври</w:t>
            </w:r>
          </w:p>
        </w:tc>
        <w:tc>
          <w:tcPr>
            <w:tcW w:w="1828" w:type="dxa"/>
            <w:tcBorders>
              <w:top w:val="nil"/>
              <w:left w:val="single" w:sz="4" w:space="0" w:color="auto"/>
              <w:bottom w:val="single" w:sz="4" w:space="0" w:color="auto"/>
              <w:right w:val="single" w:sz="4" w:space="0" w:color="auto"/>
            </w:tcBorders>
            <w:shd w:val="clear" w:color="auto" w:fill="auto"/>
            <w:noWrap/>
            <w:hideMark/>
          </w:tcPr>
          <w:p w14:paraId="56437633" w14:textId="77E00D51"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751A5CF6" w14:textId="3A833E32"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702BF8" w:rsidRPr="00AA34BE" w14:paraId="124CF76E" w14:textId="77777777" w:rsidTr="00A34927">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00DC7F3"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Ноември</w:t>
            </w:r>
          </w:p>
        </w:tc>
        <w:tc>
          <w:tcPr>
            <w:tcW w:w="1828" w:type="dxa"/>
            <w:tcBorders>
              <w:top w:val="nil"/>
              <w:left w:val="single" w:sz="4" w:space="0" w:color="auto"/>
              <w:bottom w:val="single" w:sz="4" w:space="0" w:color="auto"/>
              <w:right w:val="single" w:sz="4" w:space="0" w:color="auto"/>
            </w:tcBorders>
            <w:shd w:val="clear" w:color="auto" w:fill="auto"/>
            <w:noWrap/>
            <w:hideMark/>
          </w:tcPr>
          <w:p w14:paraId="5BBCBACC" w14:textId="67D3F710"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c>
          <w:tcPr>
            <w:tcW w:w="1700" w:type="dxa"/>
            <w:tcBorders>
              <w:top w:val="nil"/>
              <w:left w:val="nil"/>
              <w:bottom w:val="single" w:sz="4" w:space="0" w:color="auto"/>
              <w:right w:val="single" w:sz="8" w:space="0" w:color="auto"/>
            </w:tcBorders>
            <w:shd w:val="clear" w:color="auto" w:fill="auto"/>
            <w:noWrap/>
            <w:hideMark/>
          </w:tcPr>
          <w:p w14:paraId="72571852" w14:textId="0BDD1A5C"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702BF8" w:rsidRPr="00AA34BE" w14:paraId="7BC22270" w14:textId="77777777" w:rsidTr="00A34927">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2DBCF155" w14:textId="77777777" w:rsidR="00702BF8" w:rsidRPr="00AA34BE" w:rsidRDefault="00702BF8" w:rsidP="00702BF8">
            <w:pPr>
              <w:ind w:left="709"/>
              <w:rPr>
                <w:rFonts w:cs="Arial"/>
                <w:color w:val="000000" w:themeColor="text1"/>
                <w:sz w:val="18"/>
                <w:szCs w:val="18"/>
              </w:rPr>
            </w:pPr>
            <w:r w:rsidRPr="00AA34BE">
              <w:rPr>
                <w:rFonts w:cs="Arial"/>
                <w:color w:val="000000" w:themeColor="text1"/>
                <w:sz w:val="18"/>
                <w:szCs w:val="18"/>
              </w:rPr>
              <w:t>Декември</w:t>
            </w:r>
          </w:p>
        </w:tc>
        <w:tc>
          <w:tcPr>
            <w:tcW w:w="1828" w:type="dxa"/>
            <w:tcBorders>
              <w:top w:val="nil"/>
              <w:left w:val="single" w:sz="4" w:space="0" w:color="auto"/>
              <w:bottom w:val="single" w:sz="8" w:space="0" w:color="auto"/>
              <w:right w:val="single" w:sz="4" w:space="0" w:color="auto"/>
            </w:tcBorders>
            <w:shd w:val="clear" w:color="auto" w:fill="auto"/>
            <w:noWrap/>
            <w:hideMark/>
          </w:tcPr>
          <w:p w14:paraId="44831076" w14:textId="036395B5"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c>
          <w:tcPr>
            <w:tcW w:w="1700" w:type="dxa"/>
            <w:tcBorders>
              <w:top w:val="nil"/>
              <w:left w:val="nil"/>
              <w:bottom w:val="single" w:sz="8" w:space="0" w:color="auto"/>
              <w:right w:val="single" w:sz="8" w:space="0" w:color="auto"/>
            </w:tcBorders>
            <w:shd w:val="clear" w:color="auto" w:fill="auto"/>
            <w:noWrap/>
            <w:hideMark/>
          </w:tcPr>
          <w:p w14:paraId="731B5CC0" w14:textId="57F5BD36" w:rsidR="00702BF8" w:rsidRPr="00AA34BE" w:rsidRDefault="00702BF8" w:rsidP="00702BF8">
            <w:pPr>
              <w:ind w:left="709"/>
              <w:jc w:val="right"/>
              <w:rPr>
                <w:rFonts w:cs="Arial"/>
                <w:color w:val="000000" w:themeColor="text1"/>
              </w:rPr>
            </w:pPr>
            <w:r w:rsidRPr="00F92A8C">
              <w:rPr>
                <w:rFonts w:cs="Arial"/>
                <w:color w:val="000000" w:themeColor="text1"/>
                <w:sz w:val="20"/>
                <w:szCs w:val="20"/>
                <w:lang w:val="en-US"/>
              </w:rPr>
              <w:t>x xxx</w:t>
            </w:r>
          </w:p>
        </w:tc>
      </w:tr>
      <w:tr w:rsidR="00D923BB" w:rsidRPr="00AA34BE" w14:paraId="76B08768" w14:textId="77777777" w:rsidTr="006240A3">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61B02A15" w14:textId="77777777" w:rsidR="00D923BB" w:rsidRPr="00AA34BE" w:rsidRDefault="00D923BB" w:rsidP="006240A3">
            <w:pPr>
              <w:ind w:left="709"/>
              <w:rPr>
                <w:rFonts w:cs="Arial"/>
                <w:b/>
                <w:color w:val="000000" w:themeColor="text1"/>
                <w:sz w:val="18"/>
                <w:szCs w:val="18"/>
              </w:rPr>
            </w:pPr>
            <w:r w:rsidRPr="00AA34BE">
              <w:rPr>
                <w:rFonts w:cs="Arial"/>
                <w:b/>
                <w:color w:val="000000" w:themeColor="text1"/>
                <w:sz w:val="18"/>
                <w:szCs w:val="18"/>
              </w:rPr>
              <w:t>общо</w:t>
            </w:r>
          </w:p>
        </w:tc>
        <w:tc>
          <w:tcPr>
            <w:tcW w:w="1828" w:type="dxa"/>
            <w:tcBorders>
              <w:top w:val="nil"/>
              <w:left w:val="single" w:sz="4" w:space="0" w:color="auto"/>
              <w:bottom w:val="single" w:sz="8" w:space="0" w:color="auto"/>
              <w:right w:val="single" w:sz="4" w:space="0" w:color="auto"/>
            </w:tcBorders>
            <w:shd w:val="clear" w:color="auto" w:fill="auto"/>
            <w:noWrap/>
            <w:vAlign w:val="bottom"/>
            <w:hideMark/>
          </w:tcPr>
          <w:p w14:paraId="3E4B4A29" w14:textId="29EC9EF1" w:rsidR="00D923BB" w:rsidRPr="00702BF8" w:rsidRDefault="00702BF8" w:rsidP="006240A3">
            <w:pPr>
              <w:ind w:left="709"/>
              <w:jc w:val="right"/>
              <w:rPr>
                <w:rFonts w:cs="Arial"/>
                <w:b/>
                <w:color w:val="000000" w:themeColor="text1"/>
                <w:lang w:val="en-US"/>
              </w:rPr>
            </w:pPr>
            <w:r>
              <w:rPr>
                <w:rFonts w:cs="Arial"/>
                <w:b/>
                <w:bCs/>
                <w:color w:val="000000" w:themeColor="text1"/>
                <w:sz w:val="20"/>
                <w:szCs w:val="20"/>
                <w:lang w:val="en-US"/>
              </w:rPr>
              <w:t>xx xxx</w:t>
            </w:r>
          </w:p>
        </w:tc>
        <w:tc>
          <w:tcPr>
            <w:tcW w:w="1700" w:type="dxa"/>
            <w:tcBorders>
              <w:top w:val="nil"/>
              <w:left w:val="nil"/>
              <w:bottom w:val="single" w:sz="8" w:space="0" w:color="auto"/>
              <w:right w:val="single" w:sz="8" w:space="0" w:color="auto"/>
            </w:tcBorders>
            <w:shd w:val="clear" w:color="auto" w:fill="auto"/>
            <w:noWrap/>
            <w:vAlign w:val="bottom"/>
            <w:hideMark/>
          </w:tcPr>
          <w:p w14:paraId="6968DB43" w14:textId="0CC2FF4B" w:rsidR="00D923BB" w:rsidRPr="00702BF8" w:rsidRDefault="00702BF8" w:rsidP="006240A3">
            <w:pPr>
              <w:ind w:left="709"/>
              <w:jc w:val="right"/>
              <w:rPr>
                <w:rFonts w:cs="Arial"/>
                <w:b/>
                <w:color w:val="000000" w:themeColor="text1"/>
                <w:lang w:val="en-US"/>
              </w:rPr>
            </w:pPr>
            <w:r>
              <w:rPr>
                <w:rFonts w:cs="Arial"/>
                <w:b/>
                <w:bCs/>
                <w:color w:val="000000" w:themeColor="text1"/>
                <w:sz w:val="20"/>
                <w:szCs w:val="20"/>
                <w:lang w:val="en-US"/>
              </w:rPr>
              <w:t>xx xxx</w:t>
            </w:r>
          </w:p>
        </w:tc>
      </w:tr>
    </w:tbl>
    <w:p w14:paraId="6D479A76" w14:textId="4710846B" w:rsidR="00D923BB" w:rsidRPr="00AA34BE" w:rsidRDefault="00D923BB" w:rsidP="00D923BB">
      <w:pPr>
        <w:ind w:left="709"/>
        <w:rPr>
          <w:rFonts w:cs="Arial"/>
          <w:color w:val="000000" w:themeColor="text1"/>
        </w:rPr>
      </w:pPr>
    </w:p>
    <w:p w14:paraId="6EFDA078" w14:textId="77777777" w:rsidR="00D923BB" w:rsidRPr="00AA34BE" w:rsidRDefault="00D923BB" w:rsidP="00D923BB">
      <w:pPr>
        <w:numPr>
          <w:ilvl w:val="0"/>
          <w:numId w:val="14"/>
        </w:numPr>
        <w:spacing w:line="240" w:lineRule="auto"/>
        <w:ind w:left="709"/>
        <w:rPr>
          <w:rFonts w:cs="Arial"/>
          <w:b/>
          <w:color w:val="000000" w:themeColor="text1"/>
        </w:rPr>
      </w:pPr>
      <w:bookmarkStart w:id="8" w:name="_Hlk114211038"/>
      <w:r w:rsidRPr="00AA34BE">
        <w:rPr>
          <w:rFonts w:cs="Arial"/>
          <w:b/>
          <w:color w:val="000000" w:themeColor="text1"/>
        </w:rPr>
        <w:t>Технологични разходи на топлинна енергия от топлоотдаване от топлопроводите и съоръженията към тях</w:t>
      </w:r>
    </w:p>
    <w:bookmarkEnd w:id="8"/>
    <w:p w14:paraId="13020253" w14:textId="77777777" w:rsidR="00D923BB" w:rsidRPr="00AA34BE" w:rsidRDefault="00D923BB" w:rsidP="00D923BB">
      <w:pPr>
        <w:spacing w:line="240" w:lineRule="auto"/>
        <w:ind w:left="709"/>
        <w:rPr>
          <w:rFonts w:cs="Arial"/>
          <w:color w:val="000000" w:themeColor="text1"/>
        </w:rPr>
      </w:pPr>
      <w:r w:rsidRPr="00AA34BE">
        <w:rPr>
          <w:rFonts w:cs="Arial"/>
          <w:color w:val="000000" w:themeColor="text1"/>
        </w:rPr>
        <w:t>Технологичните разходи от топлоотдаване през разглежданите години се променят поради:</w:t>
      </w:r>
    </w:p>
    <w:p w14:paraId="4F1FDED4" w14:textId="77777777" w:rsidR="00D923BB" w:rsidRPr="00AA34BE" w:rsidRDefault="00D923BB" w:rsidP="00D923BB">
      <w:pPr>
        <w:numPr>
          <w:ilvl w:val="0"/>
          <w:numId w:val="20"/>
        </w:numPr>
        <w:spacing w:before="45" w:after="45" w:line="240" w:lineRule="auto"/>
        <w:ind w:left="709"/>
        <w:rPr>
          <w:rFonts w:cs="Arial"/>
          <w:color w:val="000000" w:themeColor="text1"/>
        </w:rPr>
      </w:pPr>
      <w:r w:rsidRPr="00AA34BE">
        <w:rPr>
          <w:rFonts w:cs="Arial"/>
          <w:color w:val="000000" w:themeColor="text1"/>
        </w:rPr>
        <w:t xml:space="preserve">независимо от топлоизточника, режимът на работа се определя от необходимостта да се доставя топлинна енергия по топлопреносна мрежа с голяма дължина. Това е причина за голяма </w:t>
      </w:r>
      <w:r w:rsidRPr="00AA34BE">
        <w:rPr>
          <w:rFonts w:cs="Arial"/>
          <w:color w:val="000000" w:themeColor="text1"/>
        </w:rPr>
        <w:lastRenderedPageBreak/>
        <w:t>продължителност на температурната вълна и води до необходимост от денонощна работа при високи температури за качествено топлоснабдяване и на най-отдалечените потребители;</w:t>
      </w:r>
    </w:p>
    <w:p w14:paraId="14B43918" w14:textId="77777777" w:rsidR="00D923BB" w:rsidRPr="00AA34BE" w:rsidRDefault="00D923BB" w:rsidP="00D923BB">
      <w:pPr>
        <w:numPr>
          <w:ilvl w:val="0"/>
          <w:numId w:val="20"/>
        </w:numPr>
        <w:spacing w:before="45" w:after="45" w:line="240" w:lineRule="auto"/>
        <w:ind w:left="709"/>
        <w:rPr>
          <w:rFonts w:cs="Arial"/>
          <w:color w:val="000000" w:themeColor="text1"/>
        </w:rPr>
      </w:pPr>
      <w:r w:rsidRPr="00AA34BE">
        <w:rPr>
          <w:rFonts w:cs="Arial"/>
          <w:color w:val="000000" w:themeColor="text1"/>
        </w:rPr>
        <w:t>структурната оптимизация на топлопреносната мрежа е изчерпана и ограничена от присъединяването на нови консуматори в периферни точки на мрежата;</w:t>
      </w:r>
    </w:p>
    <w:p w14:paraId="60FF0B88" w14:textId="77777777" w:rsidR="00D923BB" w:rsidRPr="00AA34BE" w:rsidRDefault="00D923BB" w:rsidP="00D923BB">
      <w:pPr>
        <w:numPr>
          <w:ilvl w:val="0"/>
          <w:numId w:val="20"/>
        </w:numPr>
        <w:spacing w:before="45" w:after="45" w:line="240" w:lineRule="auto"/>
        <w:ind w:left="709"/>
        <w:rPr>
          <w:rFonts w:cs="Arial"/>
          <w:color w:val="000000" w:themeColor="text1"/>
        </w:rPr>
      </w:pPr>
      <w:r w:rsidRPr="00AA34BE">
        <w:rPr>
          <w:rFonts w:cs="Arial"/>
          <w:color w:val="000000" w:themeColor="text1"/>
        </w:rPr>
        <w:t>новоизградените участъци са с много малък относителен дял;</w:t>
      </w:r>
    </w:p>
    <w:p w14:paraId="336A5AFD" w14:textId="77777777" w:rsidR="00D923BB" w:rsidRPr="00AA34BE" w:rsidRDefault="00D923BB" w:rsidP="00D923BB">
      <w:pPr>
        <w:numPr>
          <w:ilvl w:val="0"/>
          <w:numId w:val="20"/>
        </w:numPr>
        <w:spacing w:before="45" w:after="45" w:line="240" w:lineRule="auto"/>
        <w:ind w:left="709"/>
        <w:rPr>
          <w:rFonts w:cs="Arial"/>
          <w:color w:val="000000" w:themeColor="text1"/>
        </w:rPr>
      </w:pPr>
      <w:r w:rsidRPr="00AA34BE">
        <w:rPr>
          <w:rFonts w:cs="Arial"/>
          <w:color w:val="000000" w:themeColor="text1"/>
        </w:rPr>
        <w:t>рехабилитационните дейности по тръбопроводите на топлопреносната мрежа са също с много малък обем;</w:t>
      </w:r>
    </w:p>
    <w:p w14:paraId="12317C0C" w14:textId="77777777" w:rsidR="00D923BB" w:rsidRPr="00AA34BE" w:rsidRDefault="00D923BB" w:rsidP="00D923BB">
      <w:pPr>
        <w:numPr>
          <w:ilvl w:val="0"/>
          <w:numId w:val="20"/>
        </w:numPr>
        <w:spacing w:before="45" w:after="45" w:line="240" w:lineRule="auto"/>
        <w:ind w:left="709"/>
        <w:rPr>
          <w:rFonts w:cs="Arial"/>
          <w:color w:val="000000" w:themeColor="text1"/>
        </w:rPr>
      </w:pPr>
      <w:r w:rsidRPr="00AA34BE">
        <w:rPr>
          <w:rFonts w:cs="Arial"/>
          <w:color w:val="000000" w:themeColor="text1"/>
        </w:rPr>
        <w:t>При регулярните обходи на топлопреносната мрежа се констатира запълване на части от ТПМ с питейна вода или с канализационна вода. Причина за такива ситуации са множеството пропуски на ВиК мрежите. Запълването на участъци от нашата топлопреносна мрежа с ВиК вода  води до охлаждане на топлопроводите и увеличаване на загубите от топлоотдаване. Допълнителен  ефект е ускоряване на външни корозионни процеси на нашата топлопреносна мрежа и възникването на множество аварии.</w:t>
      </w:r>
    </w:p>
    <w:p w14:paraId="0F708D90" w14:textId="77777777" w:rsidR="00D923BB" w:rsidRPr="00AA34BE" w:rsidRDefault="00D923BB" w:rsidP="00D923BB">
      <w:pPr>
        <w:numPr>
          <w:ilvl w:val="0"/>
          <w:numId w:val="20"/>
        </w:numPr>
        <w:spacing w:before="45" w:after="45" w:line="240" w:lineRule="auto"/>
        <w:ind w:left="709"/>
        <w:rPr>
          <w:rFonts w:cs="Arial"/>
          <w:color w:val="000000" w:themeColor="text1"/>
        </w:rPr>
      </w:pPr>
      <w:r w:rsidRPr="00AA34BE">
        <w:rPr>
          <w:rFonts w:cs="Arial"/>
          <w:color w:val="000000" w:themeColor="text1"/>
        </w:rPr>
        <w:t>в по - голямата си част трасетата на топлопроводите преминават под натоварени градски пътни артерии. Рехабилитацията им винаги е свързана с дългосрочна реорганизация на движението и задължения на ЕВН ТР да възстанови пътната настилка и съоръженията от пътя, което води до оскъпяване на дейностите по подмяна. Допълнително на дружеството често се налага да финансира и теренни археологически проучвания поради такива изкопни работи;</w:t>
      </w:r>
    </w:p>
    <w:p w14:paraId="6BF37F70" w14:textId="77777777" w:rsidR="00D923BB" w:rsidRPr="00AA34BE" w:rsidRDefault="00D923BB" w:rsidP="00D923BB">
      <w:pPr>
        <w:spacing w:before="45" w:after="45" w:line="240" w:lineRule="auto"/>
        <w:ind w:left="709"/>
        <w:rPr>
          <w:rFonts w:cs="Arial"/>
          <w:color w:val="000000" w:themeColor="text1"/>
        </w:rPr>
      </w:pPr>
    </w:p>
    <w:p w14:paraId="776CD961" w14:textId="5203F12A" w:rsidR="00D923BB" w:rsidRPr="00AA34BE" w:rsidRDefault="00D923BB" w:rsidP="00D923BB">
      <w:pPr>
        <w:spacing w:before="45" w:after="45" w:line="240" w:lineRule="auto"/>
        <w:ind w:left="709"/>
        <w:rPr>
          <w:rFonts w:cs="Arial"/>
          <w:color w:val="000000" w:themeColor="text1"/>
        </w:rPr>
      </w:pPr>
      <w:r w:rsidRPr="00AA34BE">
        <w:rPr>
          <w:rFonts w:cs="Arial"/>
          <w:color w:val="000000" w:themeColor="text1"/>
        </w:rPr>
        <w:t xml:space="preserve">Анализите на ЕВН ТР показаха, че за да се извърши рехабилитация на най-компрометираните участъци от топлопреносната мрежа, са необходимо минимум </w:t>
      </w:r>
      <w:r w:rsidR="005404EA">
        <w:rPr>
          <w:rFonts w:cs="Arial"/>
          <w:color w:val="000000" w:themeColor="text1"/>
          <w:lang w:val="en-US"/>
        </w:rPr>
        <w:t>x</w:t>
      </w:r>
      <w:r w:rsidRPr="00AA34BE">
        <w:rPr>
          <w:rFonts w:cs="Arial"/>
          <w:color w:val="000000" w:themeColor="text1"/>
        </w:rPr>
        <w:t xml:space="preserve"> години и инвестиция над </w:t>
      </w:r>
      <w:r w:rsidR="005404EA">
        <w:rPr>
          <w:rFonts w:cs="Arial"/>
          <w:color w:val="000000" w:themeColor="text1"/>
          <w:lang w:val="en-US"/>
        </w:rPr>
        <w:t>xx xxx</w:t>
      </w:r>
      <w:r w:rsidRPr="00AA34BE">
        <w:rPr>
          <w:rFonts w:cs="Arial"/>
          <w:color w:val="000000" w:themeColor="text1"/>
        </w:rPr>
        <w:t xml:space="preserve"> хил. лв.</w:t>
      </w:r>
    </w:p>
    <w:p w14:paraId="25DC5B72" w14:textId="77777777" w:rsidR="00D923BB" w:rsidRPr="00AA34BE" w:rsidRDefault="00D923BB" w:rsidP="00D923BB">
      <w:pPr>
        <w:spacing w:before="45" w:after="45" w:line="240" w:lineRule="auto"/>
        <w:ind w:left="709"/>
        <w:rPr>
          <w:rFonts w:cs="Arial"/>
          <w:color w:val="000000" w:themeColor="text1"/>
        </w:rPr>
      </w:pPr>
    </w:p>
    <w:p w14:paraId="11ACEBF9" w14:textId="77777777" w:rsidR="00D923BB" w:rsidRPr="00AA34BE" w:rsidRDefault="00D923BB" w:rsidP="00D923BB">
      <w:pPr>
        <w:spacing w:before="45" w:after="45" w:line="240" w:lineRule="auto"/>
        <w:ind w:left="709"/>
        <w:rPr>
          <w:rFonts w:cs="Arial"/>
          <w:color w:val="000000" w:themeColor="text1"/>
        </w:rPr>
      </w:pPr>
      <w:r w:rsidRPr="00AA34BE">
        <w:rPr>
          <w:rFonts w:cs="Arial"/>
          <w:color w:val="000000" w:themeColor="text1"/>
        </w:rPr>
        <w:t>На следващата фигура 5 са съпоставени отчетените количества топлинна енергия от топлоотдаване и делът на същите, при утвърдените общи топлинни загуби от КЕВР.</w:t>
      </w:r>
    </w:p>
    <w:p w14:paraId="31E574D8" w14:textId="7F85B24C" w:rsidR="00D923BB" w:rsidRPr="00AA34BE" w:rsidRDefault="00E85FE7" w:rsidP="00D923BB">
      <w:pPr>
        <w:spacing w:before="45" w:after="45" w:line="240" w:lineRule="auto"/>
        <w:ind w:left="709"/>
        <w:rPr>
          <w:rFonts w:cs="Arial"/>
          <w:color w:val="000000" w:themeColor="text1"/>
        </w:rPr>
      </w:pPr>
      <w:r>
        <w:rPr>
          <w:rFonts w:cs="Arial"/>
          <w:noProof/>
          <w:color w:val="000000" w:themeColor="text1"/>
        </w:rPr>
        <w:drawing>
          <wp:anchor distT="0" distB="0" distL="114300" distR="114300" simplePos="0" relativeHeight="251716608" behindDoc="0" locked="0" layoutInCell="1" allowOverlap="1" wp14:anchorId="0558032A" wp14:editId="710E8887">
            <wp:simplePos x="0" y="0"/>
            <wp:positionH relativeFrom="column">
              <wp:posOffset>832485</wp:posOffset>
            </wp:positionH>
            <wp:positionV relativeFrom="paragraph">
              <wp:posOffset>61595</wp:posOffset>
            </wp:positionV>
            <wp:extent cx="4399200" cy="2811600"/>
            <wp:effectExtent l="0" t="0" r="1905" b="825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99200" cy="2811600"/>
                    </a:xfrm>
                    <a:prstGeom prst="rect">
                      <a:avLst/>
                    </a:prstGeom>
                    <a:noFill/>
                  </pic:spPr>
                </pic:pic>
              </a:graphicData>
            </a:graphic>
            <wp14:sizeRelH relativeFrom="margin">
              <wp14:pctWidth>0</wp14:pctWidth>
            </wp14:sizeRelH>
            <wp14:sizeRelV relativeFrom="margin">
              <wp14:pctHeight>0</wp14:pctHeight>
            </wp14:sizeRelV>
          </wp:anchor>
        </w:drawing>
      </w:r>
    </w:p>
    <w:p w14:paraId="4AC03D96" w14:textId="77777777" w:rsidR="00D923BB" w:rsidRPr="00AA34BE" w:rsidRDefault="00D923BB" w:rsidP="00D923BB">
      <w:pPr>
        <w:spacing w:before="45" w:after="45" w:line="240" w:lineRule="auto"/>
        <w:ind w:left="709"/>
        <w:rPr>
          <w:rFonts w:cs="Arial"/>
          <w:color w:val="000000" w:themeColor="text1"/>
        </w:rPr>
      </w:pPr>
    </w:p>
    <w:p w14:paraId="4C078965" w14:textId="0F7160F8" w:rsidR="00D923BB" w:rsidRPr="00AA34BE" w:rsidRDefault="00D923BB" w:rsidP="00D923BB">
      <w:pPr>
        <w:spacing w:before="45" w:after="45" w:line="240" w:lineRule="auto"/>
        <w:ind w:left="709"/>
        <w:rPr>
          <w:rFonts w:cs="Arial"/>
          <w:color w:val="000000" w:themeColor="text1"/>
        </w:rPr>
      </w:pPr>
    </w:p>
    <w:p w14:paraId="582EC2BA" w14:textId="57876049" w:rsidR="00D923BB" w:rsidRPr="00AA34BE" w:rsidRDefault="00D923BB" w:rsidP="00D923BB">
      <w:pPr>
        <w:spacing w:before="45" w:after="45" w:line="240" w:lineRule="auto"/>
        <w:ind w:left="709"/>
        <w:rPr>
          <w:rFonts w:cs="Arial"/>
          <w:color w:val="000000" w:themeColor="text1"/>
        </w:rPr>
      </w:pPr>
    </w:p>
    <w:p w14:paraId="14F14E03" w14:textId="32FF44B1" w:rsidR="00D923BB" w:rsidRDefault="00D923BB" w:rsidP="00D923BB">
      <w:pPr>
        <w:spacing w:before="45" w:after="45" w:line="240" w:lineRule="auto"/>
        <w:ind w:left="709"/>
        <w:jc w:val="center"/>
        <w:rPr>
          <w:rFonts w:cs="Arial"/>
          <w:noProof/>
          <w:color w:val="000000" w:themeColor="text1"/>
        </w:rPr>
      </w:pPr>
    </w:p>
    <w:p w14:paraId="09F61523" w14:textId="77777777" w:rsidR="00E85FE7" w:rsidRDefault="00E85FE7" w:rsidP="00D923BB">
      <w:pPr>
        <w:spacing w:before="45" w:after="45" w:line="240" w:lineRule="auto"/>
        <w:ind w:left="709"/>
        <w:jc w:val="center"/>
        <w:rPr>
          <w:rFonts w:cs="Arial"/>
          <w:noProof/>
          <w:color w:val="000000" w:themeColor="text1"/>
        </w:rPr>
      </w:pPr>
    </w:p>
    <w:p w14:paraId="6C92B96B" w14:textId="77777777" w:rsidR="00E85FE7" w:rsidRDefault="00E85FE7" w:rsidP="00D923BB">
      <w:pPr>
        <w:spacing w:before="45" w:after="45" w:line="240" w:lineRule="auto"/>
        <w:ind w:left="709"/>
        <w:jc w:val="center"/>
        <w:rPr>
          <w:rFonts w:cs="Arial"/>
          <w:noProof/>
          <w:color w:val="000000" w:themeColor="text1"/>
        </w:rPr>
      </w:pPr>
    </w:p>
    <w:p w14:paraId="5842241F" w14:textId="77777777" w:rsidR="00E85FE7" w:rsidRPr="00AA34BE" w:rsidRDefault="00E85FE7" w:rsidP="00D923BB">
      <w:pPr>
        <w:spacing w:before="45" w:after="45" w:line="240" w:lineRule="auto"/>
        <w:ind w:left="709"/>
        <w:jc w:val="center"/>
        <w:rPr>
          <w:rFonts w:cs="Arial"/>
          <w:color w:val="000000" w:themeColor="text1"/>
        </w:rPr>
      </w:pPr>
    </w:p>
    <w:p w14:paraId="34591385" w14:textId="77777777" w:rsidR="00E85FE7" w:rsidRDefault="00E85FE7" w:rsidP="00D923BB">
      <w:pPr>
        <w:spacing w:before="45" w:after="45" w:line="240" w:lineRule="auto"/>
        <w:ind w:left="709"/>
        <w:jc w:val="center"/>
        <w:rPr>
          <w:rFonts w:cs="Arial"/>
          <w:color w:val="000000" w:themeColor="text1"/>
        </w:rPr>
      </w:pPr>
    </w:p>
    <w:p w14:paraId="5C1894EB" w14:textId="77777777" w:rsidR="00E85FE7" w:rsidRDefault="00E85FE7" w:rsidP="00D923BB">
      <w:pPr>
        <w:spacing w:before="45" w:after="45" w:line="240" w:lineRule="auto"/>
        <w:ind w:left="709"/>
        <w:jc w:val="center"/>
        <w:rPr>
          <w:rFonts w:cs="Arial"/>
          <w:color w:val="000000" w:themeColor="text1"/>
        </w:rPr>
      </w:pPr>
    </w:p>
    <w:p w14:paraId="02AEFB9B" w14:textId="77777777" w:rsidR="00E85FE7" w:rsidRDefault="00E85FE7" w:rsidP="00D923BB">
      <w:pPr>
        <w:spacing w:before="45" w:after="45" w:line="240" w:lineRule="auto"/>
        <w:ind w:left="709"/>
        <w:jc w:val="center"/>
        <w:rPr>
          <w:rFonts w:cs="Arial"/>
          <w:color w:val="000000" w:themeColor="text1"/>
        </w:rPr>
      </w:pPr>
    </w:p>
    <w:p w14:paraId="5D4BAEDB" w14:textId="77777777" w:rsidR="00E85FE7" w:rsidRDefault="00E85FE7" w:rsidP="00D923BB">
      <w:pPr>
        <w:spacing w:before="45" w:after="45" w:line="240" w:lineRule="auto"/>
        <w:ind w:left="709"/>
        <w:jc w:val="center"/>
        <w:rPr>
          <w:rFonts w:cs="Arial"/>
          <w:color w:val="000000" w:themeColor="text1"/>
        </w:rPr>
      </w:pPr>
    </w:p>
    <w:p w14:paraId="3480D185" w14:textId="77777777" w:rsidR="00E85FE7" w:rsidRDefault="00E85FE7" w:rsidP="00D923BB">
      <w:pPr>
        <w:spacing w:before="45" w:after="45" w:line="240" w:lineRule="auto"/>
        <w:ind w:left="709"/>
        <w:jc w:val="center"/>
        <w:rPr>
          <w:rFonts w:cs="Arial"/>
          <w:color w:val="000000" w:themeColor="text1"/>
        </w:rPr>
      </w:pPr>
    </w:p>
    <w:p w14:paraId="15255C54" w14:textId="77777777" w:rsidR="00E85FE7" w:rsidRDefault="00E85FE7" w:rsidP="00D923BB">
      <w:pPr>
        <w:spacing w:before="45" w:after="45" w:line="240" w:lineRule="auto"/>
        <w:ind w:left="709"/>
        <w:jc w:val="center"/>
        <w:rPr>
          <w:rFonts w:cs="Arial"/>
          <w:color w:val="000000" w:themeColor="text1"/>
        </w:rPr>
      </w:pPr>
    </w:p>
    <w:p w14:paraId="08C713F2" w14:textId="77777777" w:rsidR="00E85FE7" w:rsidRDefault="00E85FE7" w:rsidP="00D923BB">
      <w:pPr>
        <w:spacing w:before="45" w:after="45" w:line="240" w:lineRule="auto"/>
        <w:ind w:left="709"/>
        <w:jc w:val="center"/>
        <w:rPr>
          <w:rFonts w:cs="Arial"/>
          <w:color w:val="000000" w:themeColor="text1"/>
        </w:rPr>
      </w:pPr>
    </w:p>
    <w:p w14:paraId="4DEC9115" w14:textId="77777777" w:rsidR="00E85FE7" w:rsidRDefault="00E85FE7" w:rsidP="00D923BB">
      <w:pPr>
        <w:spacing w:before="45" w:after="45" w:line="240" w:lineRule="auto"/>
        <w:ind w:left="709"/>
        <w:jc w:val="center"/>
        <w:rPr>
          <w:rFonts w:cs="Arial"/>
          <w:color w:val="000000" w:themeColor="text1"/>
        </w:rPr>
      </w:pPr>
    </w:p>
    <w:p w14:paraId="547C4A4D" w14:textId="77777777" w:rsidR="00E85FE7" w:rsidRDefault="00E85FE7" w:rsidP="00D923BB">
      <w:pPr>
        <w:spacing w:before="45" w:after="45" w:line="240" w:lineRule="auto"/>
        <w:ind w:left="709"/>
        <w:jc w:val="center"/>
        <w:rPr>
          <w:rFonts w:cs="Arial"/>
          <w:color w:val="000000" w:themeColor="text1"/>
        </w:rPr>
      </w:pPr>
    </w:p>
    <w:p w14:paraId="084A86E9" w14:textId="0786ABDF" w:rsidR="00D923BB" w:rsidRPr="00AA34BE" w:rsidRDefault="00D923BB" w:rsidP="00D923BB">
      <w:pPr>
        <w:spacing w:before="45" w:after="45" w:line="240" w:lineRule="auto"/>
        <w:ind w:left="709"/>
        <w:jc w:val="center"/>
        <w:rPr>
          <w:rFonts w:cs="Arial"/>
          <w:color w:val="000000" w:themeColor="text1"/>
        </w:rPr>
      </w:pPr>
      <w:r w:rsidRPr="00AA34BE">
        <w:rPr>
          <w:rFonts w:cs="Arial"/>
          <w:color w:val="000000" w:themeColor="text1"/>
        </w:rPr>
        <w:t>Фиг. 5.</w:t>
      </w:r>
    </w:p>
    <w:p w14:paraId="2E264681" w14:textId="77777777" w:rsidR="00D923BB" w:rsidRPr="00AA34BE" w:rsidRDefault="00D923BB" w:rsidP="00D923BB">
      <w:pPr>
        <w:spacing w:before="45" w:after="45" w:line="240" w:lineRule="auto"/>
        <w:ind w:left="709"/>
        <w:jc w:val="center"/>
        <w:rPr>
          <w:rFonts w:cs="Arial"/>
          <w:color w:val="000000" w:themeColor="text1"/>
        </w:rPr>
      </w:pPr>
    </w:p>
    <w:p w14:paraId="0D6B7CA3" w14:textId="47AC5030" w:rsidR="00D923BB" w:rsidRPr="00AA34BE" w:rsidRDefault="00D923BB" w:rsidP="00D923BB">
      <w:pPr>
        <w:spacing w:before="45" w:after="45" w:line="240" w:lineRule="auto"/>
        <w:ind w:left="709"/>
        <w:rPr>
          <w:rFonts w:cs="Arial"/>
          <w:color w:val="000000" w:themeColor="text1"/>
        </w:rPr>
      </w:pPr>
      <w:bookmarkStart w:id="9" w:name="_Hlk161673098"/>
      <w:r w:rsidRPr="00AA34BE">
        <w:rPr>
          <w:rFonts w:cs="Arial"/>
          <w:color w:val="000000" w:themeColor="text1"/>
        </w:rPr>
        <w:t xml:space="preserve">За да бъда постигнато съответното ниво на загуби от излъчване са необходими над </w:t>
      </w:r>
      <w:r w:rsidR="005404EA">
        <w:rPr>
          <w:rFonts w:cs="Arial"/>
          <w:color w:val="000000" w:themeColor="text1"/>
          <w:lang w:val="en-US"/>
        </w:rPr>
        <w:t xml:space="preserve">xxx </w:t>
      </w:r>
      <w:proofErr w:type="spellStart"/>
      <w:r w:rsidR="005404EA">
        <w:rPr>
          <w:rFonts w:cs="Arial"/>
          <w:color w:val="000000" w:themeColor="text1"/>
          <w:lang w:val="en-US"/>
        </w:rPr>
        <w:t>xxx</w:t>
      </w:r>
      <w:proofErr w:type="spellEnd"/>
      <w:r w:rsidRPr="00AA34BE">
        <w:rPr>
          <w:rFonts w:cs="Arial"/>
          <w:color w:val="000000" w:themeColor="text1"/>
        </w:rPr>
        <w:t xml:space="preserve"> хил. лв. и над </w:t>
      </w:r>
      <w:r w:rsidR="005404EA">
        <w:rPr>
          <w:rFonts w:cs="Arial"/>
          <w:color w:val="000000" w:themeColor="text1"/>
          <w:lang w:val="en-US"/>
        </w:rPr>
        <w:t>xx</w:t>
      </w:r>
      <w:r w:rsidRPr="00AA34BE">
        <w:rPr>
          <w:rFonts w:cs="Arial"/>
          <w:color w:val="000000" w:themeColor="text1"/>
        </w:rPr>
        <w:t xml:space="preserve"> години</w:t>
      </w:r>
      <w:r w:rsidRPr="00AA34BE">
        <w:rPr>
          <w:rFonts w:cs="Arial"/>
          <w:color w:val="000000" w:themeColor="text1"/>
          <w:lang w:val="en-US"/>
        </w:rPr>
        <w:t xml:space="preserve"> </w:t>
      </w:r>
      <w:r w:rsidRPr="00AA34BE">
        <w:rPr>
          <w:rFonts w:cs="Arial"/>
          <w:color w:val="000000" w:themeColor="text1"/>
        </w:rPr>
        <w:t xml:space="preserve">за рехабилитация на </w:t>
      </w:r>
      <w:r w:rsidR="005404EA">
        <w:rPr>
          <w:rFonts w:cs="Arial"/>
          <w:color w:val="000000" w:themeColor="text1"/>
          <w:lang w:val="en-US"/>
        </w:rPr>
        <w:t>xx</w:t>
      </w:r>
      <w:r w:rsidRPr="00AA34BE">
        <w:rPr>
          <w:rFonts w:cs="Arial"/>
          <w:color w:val="000000" w:themeColor="text1"/>
        </w:rPr>
        <w:t xml:space="preserve"> </w:t>
      </w:r>
      <w:proofErr w:type="spellStart"/>
      <w:r w:rsidRPr="00AA34BE">
        <w:rPr>
          <w:rFonts w:cs="Arial"/>
          <w:color w:val="000000" w:themeColor="text1"/>
        </w:rPr>
        <w:t>km</w:t>
      </w:r>
      <w:proofErr w:type="spellEnd"/>
      <w:r w:rsidRPr="00AA34BE">
        <w:rPr>
          <w:rFonts w:cs="Arial"/>
          <w:color w:val="000000" w:themeColor="text1"/>
        </w:rPr>
        <w:t xml:space="preserve"> от съществуващата топлопреносна мрежа</w:t>
      </w:r>
    </w:p>
    <w:bookmarkEnd w:id="9"/>
    <w:p w14:paraId="6F992E69" w14:textId="77777777" w:rsidR="00D923BB" w:rsidRPr="00AA34BE" w:rsidRDefault="00D923BB" w:rsidP="00D923BB">
      <w:pPr>
        <w:spacing w:before="45" w:after="45" w:line="240" w:lineRule="auto"/>
        <w:ind w:left="709"/>
        <w:rPr>
          <w:rFonts w:cs="Arial"/>
          <w:color w:val="000000" w:themeColor="text1"/>
        </w:rPr>
      </w:pPr>
    </w:p>
    <w:p w14:paraId="629670FF" w14:textId="6CA5A77A" w:rsidR="00D923BB" w:rsidRPr="00AA34BE" w:rsidRDefault="00D923BB" w:rsidP="00D923BB">
      <w:pPr>
        <w:spacing w:before="45" w:after="45" w:line="240" w:lineRule="auto"/>
        <w:ind w:left="709"/>
        <w:rPr>
          <w:rFonts w:cs="Arial"/>
          <w:color w:val="000000" w:themeColor="text1"/>
        </w:rPr>
      </w:pPr>
      <w:r w:rsidRPr="00AA34BE">
        <w:rPr>
          <w:rFonts w:cs="Arial"/>
          <w:color w:val="000000" w:themeColor="text1"/>
        </w:rPr>
        <w:t xml:space="preserve">В резултат на анализа, за новия ценови период ЕВН ТР приема, че загубите на топлинна енергия от излъчване ще са в размер на </w:t>
      </w:r>
      <w:r w:rsidR="005404EA">
        <w:rPr>
          <w:rFonts w:cs="Arial"/>
          <w:b/>
          <w:color w:val="000000" w:themeColor="text1"/>
          <w:lang w:val="en-US"/>
        </w:rPr>
        <w:t>xx</w:t>
      </w:r>
      <w:r w:rsidRPr="00AA34BE">
        <w:rPr>
          <w:rFonts w:cs="Arial"/>
          <w:b/>
          <w:color w:val="000000" w:themeColor="text1"/>
        </w:rPr>
        <w:t xml:space="preserve"> </w:t>
      </w:r>
      <w:r w:rsidR="005404EA">
        <w:rPr>
          <w:rFonts w:cs="Arial"/>
          <w:b/>
          <w:color w:val="000000" w:themeColor="text1"/>
          <w:lang w:val="en-US"/>
        </w:rPr>
        <w:t>xxx</w:t>
      </w:r>
      <w:r w:rsidRPr="00AA34BE">
        <w:rPr>
          <w:rFonts w:cs="Arial"/>
          <w:b/>
          <w:color w:val="000000" w:themeColor="text1"/>
        </w:rPr>
        <w:t xml:space="preserve"> MWh</w:t>
      </w:r>
      <w:r w:rsidRPr="00AA34BE">
        <w:rPr>
          <w:rFonts w:cs="Arial"/>
          <w:color w:val="000000" w:themeColor="text1"/>
        </w:rPr>
        <w:t xml:space="preserve">. Това количество представлява намаление с </w:t>
      </w:r>
      <w:r w:rsidR="005404EA">
        <w:rPr>
          <w:rFonts w:cs="Arial"/>
          <w:b/>
          <w:bCs/>
          <w:color w:val="000000" w:themeColor="text1"/>
          <w:lang w:val="en-US"/>
        </w:rPr>
        <w:t>xx</w:t>
      </w:r>
      <w:r w:rsidRPr="00AA34BE">
        <w:rPr>
          <w:rFonts w:cs="Arial"/>
          <w:b/>
          <w:bCs/>
          <w:color w:val="000000" w:themeColor="text1"/>
        </w:rPr>
        <w:t xml:space="preserve"> </w:t>
      </w:r>
      <w:r w:rsidR="005404EA">
        <w:rPr>
          <w:rFonts w:cs="Arial"/>
          <w:b/>
          <w:bCs/>
          <w:color w:val="000000" w:themeColor="text1"/>
          <w:lang w:val="en-US"/>
        </w:rPr>
        <w:t>xxx</w:t>
      </w:r>
      <w:r w:rsidRPr="00AA34BE">
        <w:rPr>
          <w:rFonts w:cs="Arial"/>
          <w:b/>
          <w:color w:val="000000" w:themeColor="text1"/>
        </w:rPr>
        <w:t xml:space="preserve"> MWh</w:t>
      </w:r>
      <w:r w:rsidRPr="00AA34BE">
        <w:rPr>
          <w:rFonts w:cs="Arial"/>
          <w:color w:val="000000" w:themeColor="text1"/>
        </w:rPr>
        <w:t xml:space="preserve"> спрямо най-добрия постигнат резултат от дружеството през ценовата 2019 г.- 2020 г., когато дължината на топлопреносната мрежа е била в размер на </w:t>
      </w:r>
      <w:proofErr w:type="spellStart"/>
      <w:r w:rsidR="005404EA">
        <w:rPr>
          <w:rFonts w:cs="Arial"/>
          <w:color w:val="000000" w:themeColor="text1"/>
          <w:lang w:val="en-US"/>
        </w:rPr>
        <w:t>xxx.x</w:t>
      </w:r>
      <w:proofErr w:type="spellEnd"/>
      <w:r w:rsidRPr="00AA34BE">
        <w:rPr>
          <w:rFonts w:cs="Arial"/>
          <w:color w:val="000000" w:themeColor="text1"/>
        </w:rPr>
        <w:t xml:space="preserve"> </w:t>
      </w:r>
      <w:proofErr w:type="spellStart"/>
      <w:r w:rsidRPr="00AA34BE">
        <w:rPr>
          <w:rFonts w:cs="Arial"/>
          <w:color w:val="000000" w:themeColor="text1"/>
        </w:rPr>
        <w:t>km</w:t>
      </w:r>
      <w:proofErr w:type="spellEnd"/>
      <w:r w:rsidRPr="00AA34BE">
        <w:rPr>
          <w:rFonts w:cs="Arial"/>
          <w:color w:val="000000" w:themeColor="text1"/>
        </w:rPr>
        <w:t xml:space="preserve">. </w:t>
      </w:r>
    </w:p>
    <w:p w14:paraId="4079D468" w14:textId="77777777" w:rsidR="00D923BB" w:rsidRPr="00AA34BE" w:rsidRDefault="00D923BB" w:rsidP="00D923BB">
      <w:pPr>
        <w:spacing w:before="45" w:after="45" w:line="240" w:lineRule="auto"/>
        <w:ind w:left="709"/>
        <w:rPr>
          <w:rFonts w:cs="Arial"/>
          <w:color w:val="000000" w:themeColor="text1"/>
        </w:rPr>
      </w:pPr>
      <w:r w:rsidRPr="00AA34BE">
        <w:rPr>
          <w:rFonts w:cs="Arial"/>
          <w:color w:val="000000" w:themeColor="text1"/>
        </w:rPr>
        <w:t>В следващата таблица е представено разпределението по месеци, в сравнение с постигнатите резултати през календарната 202</w:t>
      </w:r>
      <w:r w:rsidRPr="00AA34BE">
        <w:rPr>
          <w:rFonts w:cs="Arial"/>
          <w:color w:val="000000" w:themeColor="text1"/>
          <w:lang w:val="en-US"/>
        </w:rPr>
        <w:t>3</w:t>
      </w:r>
      <w:r w:rsidRPr="00AA34BE">
        <w:rPr>
          <w:rFonts w:cs="Arial"/>
          <w:color w:val="000000" w:themeColor="text1"/>
        </w:rPr>
        <w:t>г.</w:t>
      </w:r>
    </w:p>
    <w:p w14:paraId="1CD67798" w14:textId="77777777" w:rsidR="00D923BB" w:rsidRDefault="00D923BB" w:rsidP="00D923BB">
      <w:pPr>
        <w:ind w:left="709"/>
        <w:rPr>
          <w:rFonts w:cs="Arial"/>
          <w:color w:val="000000" w:themeColor="text1"/>
        </w:rPr>
      </w:pPr>
    </w:p>
    <w:p w14:paraId="5F11D852" w14:textId="77777777" w:rsidR="00E85FE7" w:rsidRDefault="00E85FE7" w:rsidP="00D923BB">
      <w:pPr>
        <w:ind w:left="709"/>
        <w:rPr>
          <w:rFonts w:cs="Arial"/>
          <w:color w:val="000000" w:themeColor="text1"/>
        </w:rPr>
      </w:pPr>
    </w:p>
    <w:p w14:paraId="06134D84" w14:textId="77777777" w:rsidR="00E85FE7" w:rsidRDefault="00E85FE7" w:rsidP="00D923BB">
      <w:pPr>
        <w:ind w:left="709"/>
        <w:rPr>
          <w:rFonts w:cs="Arial"/>
          <w:color w:val="000000" w:themeColor="text1"/>
        </w:rPr>
      </w:pPr>
    </w:p>
    <w:p w14:paraId="3E3B2802" w14:textId="77777777" w:rsidR="00E85FE7" w:rsidRDefault="00E85FE7" w:rsidP="00D923BB">
      <w:pPr>
        <w:ind w:left="709"/>
        <w:rPr>
          <w:rFonts w:cs="Arial"/>
          <w:color w:val="000000" w:themeColor="text1"/>
        </w:rPr>
      </w:pPr>
    </w:p>
    <w:p w14:paraId="41123EAC" w14:textId="77777777" w:rsidR="00E85FE7" w:rsidRPr="00AA34BE" w:rsidRDefault="00E85FE7" w:rsidP="00D923BB">
      <w:pPr>
        <w:ind w:left="709"/>
        <w:rPr>
          <w:rFonts w:cs="Arial"/>
          <w:color w:val="000000" w:themeColor="text1"/>
        </w:rPr>
      </w:pPr>
    </w:p>
    <w:tbl>
      <w:tblPr>
        <w:tblW w:w="5557" w:type="dxa"/>
        <w:jc w:val="center"/>
        <w:tblCellMar>
          <w:left w:w="70" w:type="dxa"/>
          <w:right w:w="70" w:type="dxa"/>
        </w:tblCellMar>
        <w:tblLook w:val="04A0" w:firstRow="1" w:lastRow="0" w:firstColumn="1" w:lastColumn="0" w:noHBand="0" w:noVBand="1"/>
      </w:tblPr>
      <w:tblGrid>
        <w:gridCol w:w="1730"/>
        <w:gridCol w:w="1903"/>
        <w:gridCol w:w="1924"/>
      </w:tblGrid>
      <w:tr w:rsidR="00AA34BE" w:rsidRPr="00AA34BE" w14:paraId="7E9A4310" w14:textId="77777777" w:rsidTr="006240A3">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AB6C594" w14:textId="77777777" w:rsidR="00D923BB" w:rsidRPr="00AA34BE" w:rsidRDefault="00D923BB" w:rsidP="006240A3">
            <w:pPr>
              <w:ind w:left="709"/>
              <w:rPr>
                <w:rFonts w:cs="Arial"/>
                <w:color w:val="000000" w:themeColor="text1"/>
                <w:sz w:val="18"/>
                <w:szCs w:val="18"/>
              </w:rPr>
            </w:pPr>
            <w:r w:rsidRPr="00AA34BE">
              <w:rPr>
                <w:rFonts w:cs="Arial"/>
                <w:color w:val="000000" w:themeColor="text1"/>
                <w:sz w:val="18"/>
                <w:szCs w:val="18"/>
              </w:rPr>
              <w:lastRenderedPageBreak/>
              <w:t>МЕСЕЦ</w:t>
            </w:r>
          </w:p>
        </w:tc>
        <w:tc>
          <w:tcPr>
            <w:tcW w:w="1903" w:type="dxa"/>
            <w:tcBorders>
              <w:top w:val="single" w:sz="8" w:space="0" w:color="auto"/>
              <w:left w:val="nil"/>
              <w:bottom w:val="single" w:sz="4" w:space="0" w:color="auto"/>
              <w:right w:val="single" w:sz="4" w:space="0" w:color="auto"/>
            </w:tcBorders>
            <w:shd w:val="clear" w:color="auto" w:fill="auto"/>
            <w:noWrap/>
            <w:vAlign w:val="bottom"/>
            <w:hideMark/>
          </w:tcPr>
          <w:p w14:paraId="00C6A3EC" w14:textId="77777777" w:rsidR="00D923BB" w:rsidRPr="00AA34BE" w:rsidRDefault="00D923BB" w:rsidP="006240A3">
            <w:pPr>
              <w:ind w:left="709"/>
              <w:jc w:val="center"/>
              <w:rPr>
                <w:rFonts w:cs="Arial"/>
                <w:color w:val="000000" w:themeColor="text1"/>
                <w:sz w:val="18"/>
                <w:szCs w:val="18"/>
                <w:lang w:val="en-US"/>
              </w:rPr>
            </w:pPr>
            <w:r w:rsidRPr="00AA34BE">
              <w:rPr>
                <w:rFonts w:cs="Arial"/>
                <w:color w:val="000000" w:themeColor="text1"/>
                <w:sz w:val="18"/>
                <w:szCs w:val="18"/>
              </w:rPr>
              <w:t>календарна 202</w:t>
            </w:r>
            <w:r w:rsidRPr="00AA34BE">
              <w:rPr>
                <w:rFonts w:cs="Arial"/>
                <w:color w:val="000000" w:themeColor="text1"/>
                <w:sz w:val="18"/>
                <w:szCs w:val="18"/>
                <w:lang w:val="en-US"/>
              </w:rPr>
              <w:t>3</w:t>
            </w:r>
          </w:p>
        </w:tc>
        <w:tc>
          <w:tcPr>
            <w:tcW w:w="1924" w:type="dxa"/>
            <w:tcBorders>
              <w:top w:val="single" w:sz="8" w:space="0" w:color="auto"/>
              <w:left w:val="nil"/>
              <w:bottom w:val="single" w:sz="4" w:space="0" w:color="auto"/>
              <w:right w:val="single" w:sz="8" w:space="0" w:color="auto"/>
            </w:tcBorders>
            <w:shd w:val="clear" w:color="auto" w:fill="auto"/>
            <w:noWrap/>
            <w:vAlign w:val="bottom"/>
            <w:hideMark/>
          </w:tcPr>
          <w:p w14:paraId="5F8B5073" w14:textId="77777777" w:rsidR="00D923BB" w:rsidRPr="00AA34BE" w:rsidRDefault="00D923BB" w:rsidP="006240A3">
            <w:pPr>
              <w:ind w:left="709"/>
              <w:jc w:val="center"/>
              <w:rPr>
                <w:rFonts w:cs="Arial"/>
                <w:color w:val="000000" w:themeColor="text1"/>
                <w:sz w:val="18"/>
                <w:szCs w:val="18"/>
                <w:lang w:val="en-US"/>
              </w:rPr>
            </w:pPr>
            <w:r w:rsidRPr="00AA34BE">
              <w:rPr>
                <w:rFonts w:cs="Arial"/>
                <w:color w:val="000000" w:themeColor="text1"/>
                <w:sz w:val="18"/>
                <w:szCs w:val="18"/>
              </w:rPr>
              <w:t>202</w:t>
            </w:r>
            <w:r w:rsidRPr="00AA34BE">
              <w:rPr>
                <w:rFonts w:cs="Arial"/>
                <w:color w:val="000000" w:themeColor="text1"/>
                <w:sz w:val="18"/>
                <w:szCs w:val="18"/>
                <w:lang w:val="en-US"/>
              </w:rPr>
              <w:t>4</w:t>
            </w:r>
            <w:r w:rsidRPr="00AA34BE">
              <w:rPr>
                <w:rFonts w:cs="Arial"/>
                <w:color w:val="000000" w:themeColor="text1"/>
                <w:sz w:val="18"/>
                <w:szCs w:val="18"/>
              </w:rPr>
              <w:t>/202</w:t>
            </w:r>
            <w:r w:rsidRPr="00AA34BE">
              <w:rPr>
                <w:rFonts w:cs="Arial"/>
                <w:color w:val="000000" w:themeColor="text1"/>
                <w:sz w:val="18"/>
                <w:szCs w:val="18"/>
                <w:lang w:val="en-US"/>
              </w:rPr>
              <w:t>5</w:t>
            </w:r>
          </w:p>
        </w:tc>
      </w:tr>
      <w:tr w:rsidR="00AA34BE" w:rsidRPr="00AA34BE" w14:paraId="799905AC" w14:textId="77777777" w:rsidTr="006240A3">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F0BA8B5" w14:textId="77777777" w:rsidR="00D923BB" w:rsidRPr="00AA34BE" w:rsidRDefault="00D923BB" w:rsidP="006240A3">
            <w:pPr>
              <w:ind w:left="709"/>
              <w:rPr>
                <w:rFonts w:cs="Arial"/>
                <w:color w:val="000000" w:themeColor="text1"/>
                <w:sz w:val="18"/>
                <w:szCs w:val="18"/>
              </w:rPr>
            </w:pPr>
            <w:r w:rsidRPr="00AA34BE">
              <w:rPr>
                <w:rFonts w:cs="Arial"/>
                <w:color w:val="000000" w:themeColor="text1"/>
                <w:sz w:val="18"/>
                <w:szCs w:val="18"/>
              </w:rPr>
              <w:t> </w:t>
            </w:r>
          </w:p>
        </w:tc>
        <w:tc>
          <w:tcPr>
            <w:tcW w:w="1903" w:type="dxa"/>
            <w:tcBorders>
              <w:top w:val="nil"/>
              <w:left w:val="nil"/>
              <w:bottom w:val="single" w:sz="4" w:space="0" w:color="auto"/>
              <w:right w:val="single" w:sz="4" w:space="0" w:color="auto"/>
            </w:tcBorders>
            <w:shd w:val="clear" w:color="auto" w:fill="auto"/>
            <w:vAlign w:val="bottom"/>
            <w:hideMark/>
          </w:tcPr>
          <w:p w14:paraId="7D54172B"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мрежа</w:t>
            </w:r>
          </w:p>
        </w:tc>
        <w:tc>
          <w:tcPr>
            <w:tcW w:w="1924" w:type="dxa"/>
            <w:tcBorders>
              <w:top w:val="nil"/>
              <w:left w:val="nil"/>
              <w:bottom w:val="single" w:sz="4" w:space="0" w:color="auto"/>
              <w:right w:val="single" w:sz="8" w:space="0" w:color="auto"/>
            </w:tcBorders>
            <w:shd w:val="clear" w:color="auto" w:fill="auto"/>
            <w:vAlign w:val="bottom"/>
            <w:hideMark/>
          </w:tcPr>
          <w:p w14:paraId="1E09D0B9"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мрежа</w:t>
            </w:r>
          </w:p>
        </w:tc>
      </w:tr>
      <w:tr w:rsidR="00AA34BE" w:rsidRPr="00AA34BE" w14:paraId="4139AA80" w14:textId="77777777" w:rsidTr="006240A3">
        <w:trPr>
          <w:trHeight w:val="227"/>
          <w:jc w:val="center"/>
        </w:trPr>
        <w:tc>
          <w:tcPr>
            <w:tcW w:w="1730" w:type="dxa"/>
            <w:tcBorders>
              <w:top w:val="nil"/>
              <w:left w:val="single" w:sz="8" w:space="0" w:color="auto"/>
              <w:bottom w:val="nil"/>
              <w:right w:val="single" w:sz="4" w:space="0" w:color="auto"/>
            </w:tcBorders>
            <w:shd w:val="clear" w:color="auto" w:fill="auto"/>
            <w:noWrap/>
            <w:vAlign w:val="bottom"/>
            <w:hideMark/>
          </w:tcPr>
          <w:p w14:paraId="7E7B87B9"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w:t>
            </w:r>
          </w:p>
        </w:tc>
        <w:tc>
          <w:tcPr>
            <w:tcW w:w="1903" w:type="dxa"/>
            <w:tcBorders>
              <w:top w:val="nil"/>
              <w:left w:val="nil"/>
              <w:bottom w:val="nil"/>
              <w:right w:val="single" w:sz="4" w:space="0" w:color="auto"/>
            </w:tcBorders>
            <w:shd w:val="clear" w:color="auto" w:fill="auto"/>
            <w:noWrap/>
            <w:vAlign w:val="bottom"/>
            <w:hideMark/>
          </w:tcPr>
          <w:p w14:paraId="6412C84E"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MWh</w:t>
            </w:r>
          </w:p>
        </w:tc>
        <w:tc>
          <w:tcPr>
            <w:tcW w:w="1924" w:type="dxa"/>
            <w:tcBorders>
              <w:top w:val="nil"/>
              <w:left w:val="nil"/>
              <w:bottom w:val="nil"/>
              <w:right w:val="single" w:sz="8" w:space="0" w:color="auto"/>
            </w:tcBorders>
            <w:shd w:val="clear" w:color="auto" w:fill="auto"/>
            <w:noWrap/>
            <w:vAlign w:val="bottom"/>
            <w:hideMark/>
          </w:tcPr>
          <w:p w14:paraId="3F9B3B2B"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MWh</w:t>
            </w:r>
          </w:p>
        </w:tc>
      </w:tr>
      <w:tr w:rsidR="005404EA" w:rsidRPr="00AA34BE" w14:paraId="3067D170" w14:textId="77777777" w:rsidTr="003C23A5">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C4ECE16"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Януари</w:t>
            </w:r>
          </w:p>
        </w:tc>
        <w:tc>
          <w:tcPr>
            <w:tcW w:w="1903"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5644F6CF" w14:textId="39C28B10" w:rsidR="005404EA" w:rsidRPr="005404EA" w:rsidRDefault="005404EA" w:rsidP="005404EA">
            <w:pPr>
              <w:ind w:left="709"/>
              <w:jc w:val="right"/>
              <w:rPr>
                <w:rFonts w:cs="Arial"/>
                <w:color w:val="000000" w:themeColor="text1"/>
                <w:lang w:val="en-US"/>
              </w:rPr>
            </w:pPr>
            <w:r>
              <w:rPr>
                <w:rFonts w:cs="Arial"/>
                <w:color w:val="000000" w:themeColor="text1"/>
                <w:sz w:val="20"/>
                <w:szCs w:val="20"/>
                <w:lang w:val="en-US"/>
              </w:rPr>
              <w:t>xx xxx</w:t>
            </w:r>
          </w:p>
        </w:tc>
        <w:tc>
          <w:tcPr>
            <w:tcW w:w="1924" w:type="dxa"/>
            <w:tcBorders>
              <w:top w:val="single" w:sz="8" w:space="0" w:color="auto"/>
              <w:left w:val="nil"/>
              <w:bottom w:val="single" w:sz="4" w:space="0" w:color="auto"/>
              <w:right w:val="single" w:sz="8" w:space="0" w:color="auto"/>
            </w:tcBorders>
            <w:shd w:val="clear" w:color="auto" w:fill="auto"/>
            <w:noWrap/>
            <w:hideMark/>
          </w:tcPr>
          <w:p w14:paraId="2EBD54B8" w14:textId="635E7D37"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5404EA" w:rsidRPr="00AA34BE" w14:paraId="006765C7" w14:textId="77777777" w:rsidTr="003C23A5">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9DA912D"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Февруари</w:t>
            </w:r>
          </w:p>
        </w:tc>
        <w:tc>
          <w:tcPr>
            <w:tcW w:w="1903" w:type="dxa"/>
            <w:tcBorders>
              <w:top w:val="nil"/>
              <w:left w:val="single" w:sz="4" w:space="0" w:color="auto"/>
              <w:bottom w:val="single" w:sz="4" w:space="0" w:color="auto"/>
              <w:right w:val="single" w:sz="4" w:space="0" w:color="auto"/>
            </w:tcBorders>
            <w:shd w:val="clear" w:color="auto" w:fill="auto"/>
            <w:noWrap/>
            <w:hideMark/>
          </w:tcPr>
          <w:p w14:paraId="71003CDE" w14:textId="4908F39D" w:rsidR="005404EA" w:rsidRPr="00AA34BE" w:rsidRDefault="005404EA" w:rsidP="005404EA">
            <w:pPr>
              <w:ind w:left="709"/>
              <w:jc w:val="right"/>
              <w:rPr>
                <w:rFonts w:cs="Arial"/>
                <w:color w:val="000000" w:themeColor="text1"/>
              </w:rPr>
            </w:pPr>
            <w:r w:rsidRPr="0002626B">
              <w:rPr>
                <w:rFonts w:cs="Arial"/>
                <w:color w:val="000000" w:themeColor="text1"/>
                <w:sz w:val="20"/>
                <w:szCs w:val="20"/>
                <w:lang w:val="en-US"/>
              </w:rPr>
              <w:t>xx xxx</w:t>
            </w:r>
          </w:p>
        </w:tc>
        <w:tc>
          <w:tcPr>
            <w:tcW w:w="1924" w:type="dxa"/>
            <w:tcBorders>
              <w:top w:val="nil"/>
              <w:left w:val="nil"/>
              <w:bottom w:val="single" w:sz="4" w:space="0" w:color="auto"/>
              <w:right w:val="single" w:sz="8" w:space="0" w:color="auto"/>
            </w:tcBorders>
            <w:shd w:val="clear" w:color="auto" w:fill="auto"/>
            <w:noWrap/>
            <w:hideMark/>
          </w:tcPr>
          <w:p w14:paraId="312C0277" w14:textId="21959D7A"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5404EA" w:rsidRPr="00AA34BE" w14:paraId="49C97F61" w14:textId="77777777" w:rsidTr="003C23A5">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9B82EE7"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Март</w:t>
            </w:r>
          </w:p>
        </w:tc>
        <w:tc>
          <w:tcPr>
            <w:tcW w:w="1903" w:type="dxa"/>
            <w:tcBorders>
              <w:top w:val="nil"/>
              <w:left w:val="single" w:sz="4" w:space="0" w:color="auto"/>
              <w:bottom w:val="single" w:sz="4" w:space="0" w:color="auto"/>
              <w:right w:val="single" w:sz="4" w:space="0" w:color="auto"/>
            </w:tcBorders>
            <w:shd w:val="clear" w:color="auto" w:fill="auto"/>
            <w:noWrap/>
            <w:hideMark/>
          </w:tcPr>
          <w:p w14:paraId="49EC22D2" w14:textId="1CD6DC46" w:rsidR="005404EA" w:rsidRPr="00AA34BE" w:rsidRDefault="005404EA" w:rsidP="005404EA">
            <w:pPr>
              <w:ind w:left="709"/>
              <w:jc w:val="right"/>
              <w:rPr>
                <w:rFonts w:cs="Arial"/>
                <w:color w:val="000000" w:themeColor="text1"/>
              </w:rPr>
            </w:pPr>
            <w:r w:rsidRPr="0002626B">
              <w:rPr>
                <w:rFonts w:cs="Arial"/>
                <w:color w:val="000000" w:themeColor="text1"/>
                <w:sz w:val="20"/>
                <w:szCs w:val="20"/>
                <w:lang w:val="en-US"/>
              </w:rPr>
              <w:t>xx xxx</w:t>
            </w:r>
          </w:p>
        </w:tc>
        <w:tc>
          <w:tcPr>
            <w:tcW w:w="1924" w:type="dxa"/>
            <w:tcBorders>
              <w:top w:val="nil"/>
              <w:left w:val="nil"/>
              <w:bottom w:val="single" w:sz="4" w:space="0" w:color="auto"/>
              <w:right w:val="single" w:sz="8" w:space="0" w:color="auto"/>
            </w:tcBorders>
            <w:shd w:val="clear" w:color="auto" w:fill="auto"/>
            <w:noWrap/>
            <w:hideMark/>
          </w:tcPr>
          <w:p w14:paraId="03009E67" w14:textId="05439575"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5404EA" w:rsidRPr="00AA34BE" w14:paraId="6FB75939" w14:textId="77777777" w:rsidTr="003C23A5">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52287B4A"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Април</w:t>
            </w:r>
          </w:p>
        </w:tc>
        <w:tc>
          <w:tcPr>
            <w:tcW w:w="1903" w:type="dxa"/>
            <w:tcBorders>
              <w:top w:val="nil"/>
              <w:left w:val="single" w:sz="4" w:space="0" w:color="auto"/>
              <w:bottom w:val="single" w:sz="4" w:space="0" w:color="auto"/>
              <w:right w:val="single" w:sz="4" w:space="0" w:color="auto"/>
            </w:tcBorders>
            <w:shd w:val="clear" w:color="auto" w:fill="auto"/>
            <w:noWrap/>
            <w:vAlign w:val="bottom"/>
            <w:hideMark/>
          </w:tcPr>
          <w:p w14:paraId="760EA88F" w14:textId="6F77B7C9" w:rsidR="005404EA" w:rsidRPr="005404EA" w:rsidRDefault="005404EA" w:rsidP="005404EA">
            <w:pPr>
              <w:ind w:left="709"/>
              <w:jc w:val="right"/>
              <w:rPr>
                <w:rFonts w:cs="Arial"/>
                <w:color w:val="000000" w:themeColor="text1"/>
                <w:lang w:val="en-US"/>
              </w:rPr>
            </w:pPr>
            <w:r>
              <w:rPr>
                <w:rFonts w:cs="Arial"/>
                <w:color w:val="000000" w:themeColor="text1"/>
                <w:sz w:val="20"/>
                <w:szCs w:val="20"/>
                <w:lang w:val="en-US"/>
              </w:rPr>
              <w:t>x xxx</w:t>
            </w:r>
          </w:p>
        </w:tc>
        <w:tc>
          <w:tcPr>
            <w:tcW w:w="1924" w:type="dxa"/>
            <w:tcBorders>
              <w:top w:val="nil"/>
              <w:left w:val="nil"/>
              <w:bottom w:val="single" w:sz="4" w:space="0" w:color="auto"/>
              <w:right w:val="single" w:sz="8" w:space="0" w:color="auto"/>
            </w:tcBorders>
            <w:shd w:val="clear" w:color="auto" w:fill="auto"/>
            <w:noWrap/>
            <w:hideMark/>
          </w:tcPr>
          <w:p w14:paraId="2B657E9F" w14:textId="2451573C"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5404EA" w:rsidRPr="00AA34BE" w14:paraId="14415752" w14:textId="77777777" w:rsidTr="003C23A5">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7E6DA23"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Май</w:t>
            </w:r>
          </w:p>
        </w:tc>
        <w:tc>
          <w:tcPr>
            <w:tcW w:w="1903" w:type="dxa"/>
            <w:tcBorders>
              <w:top w:val="nil"/>
              <w:left w:val="single" w:sz="4" w:space="0" w:color="auto"/>
              <w:bottom w:val="single" w:sz="4" w:space="0" w:color="auto"/>
              <w:right w:val="single" w:sz="4" w:space="0" w:color="auto"/>
            </w:tcBorders>
            <w:shd w:val="clear" w:color="auto" w:fill="auto"/>
            <w:noWrap/>
            <w:hideMark/>
          </w:tcPr>
          <w:p w14:paraId="1E4B696D" w14:textId="0A530255" w:rsidR="005404EA" w:rsidRPr="00AA34BE" w:rsidRDefault="005404EA" w:rsidP="005404EA">
            <w:pPr>
              <w:ind w:left="709"/>
              <w:jc w:val="right"/>
              <w:rPr>
                <w:rFonts w:cs="Arial"/>
                <w:color w:val="000000" w:themeColor="text1"/>
              </w:rPr>
            </w:pPr>
            <w:r w:rsidRPr="00C77D4D">
              <w:rPr>
                <w:rFonts w:cs="Arial"/>
                <w:color w:val="000000" w:themeColor="text1"/>
                <w:sz w:val="20"/>
                <w:szCs w:val="20"/>
                <w:lang w:val="en-US"/>
              </w:rPr>
              <w:t>x xxx</w:t>
            </w:r>
          </w:p>
        </w:tc>
        <w:tc>
          <w:tcPr>
            <w:tcW w:w="1924" w:type="dxa"/>
            <w:tcBorders>
              <w:top w:val="nil"/>
              <w:left w:val="nil"/>
              <w:bottom w:val="single" w:sz="4" w:space="0" w:color="auto"/>
              <w:right w:val="single" w:sz="8" w:space="0" w:color="auto"/>
            </w:tcBorders>
            <w:shd w:val="clear" w:color="auto" w:fill="auto"/>
            <w:noWrap/>
            <w:hideMark/>
          </w:tcPr>
          <w:p w14:paraId="4E1845FA" w14:textId="29F9EA2E"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5404EA" w:rsidRPr="00AA34BE" w14:paraId="46EBEFC0" w14:textId="77777777" w:rsidTr="003C23A5">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29BFB3EA"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Юни</w:t>
            </w:r>
          </w:p>
        </w:tc>
        <w:tc>
          <w:tcPr>
            <w:tcW w:w="1903" w:type="dxa"/>
            <w:tcBorders>
              <w:top w:val="nil"/>
              <w:left w:val="single" w:sz="4" w:space="0" w:color="auto"/>
              <w:bottom w:val="single" w:sz="4" w:space="0" w:color="auto"/>
              <w:right w:val="single" w:sz="4" w:space="0" w:color="auto"/>
            </w:tcBorders>
            <w:shd w:val="clear" w:color="auto" w:fill="auto"/>
            <w:noWrap/>
            <w:hideMark/>
          </w:tcPr>
          <w:p w14:paraId="3A65EAA8" w14:textId="1A9362C3" w:rsidR="005404EA" w:rsidRPr="00AA34BE" w:rsidRDefault="005404EA" w:rsidP="005404EA">
            <w:pPr>
              <w:ind w:left="709"/>
              <w:jc w:val="right"/>
              <w:rPr>
                <w:rFonts w:cs="Arial"/>
                <w:color w:val="000000" w:themeColor="text1"/>
              </w:rPr>
            </w:pPr>
            <w:r w:rsidRPr="00C77D4D">
              <w:rPr>
                <w:rFonts w:cs="Arial"/>
                <w:color w:val="000000" w:themeColor="text1"/>
                <w:sz w:val="20"/>
                <w:szCs w:val="20"/>
                <w:lang w:val="en-US"/>
              </w:rPr>
              <w:t>x xxx</w:t>
            </w:r>
          </w:p>
        </w:tc>
        <w:tc>
          <w:tcPr>
            <w:tcW w:w="1924" w:type="dxa"/>
            <w:tcBorders>
              <w:top w:val="nil"/>
              <w:left w:val="nil"/>
              <w:bottom w:val="single" w:sz="4" w:space="0" w:color="auto"/>
              <w:right w:val="single" w:sz="8" w:space="0" w:color="auto"/>
            </w:tcBorders>
            <w:shd w:val="clear" w:color="auto" w:fill="auto"/>
            <w:noWrap/>
            <w:hideMark/>
          </w:tcPr>
          <w:p w14:paraId="72E7EFEB" w14:textId="6CD8AEC1"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5404EA" w:rsidRPr="00AA34BE" w14:paraId="218937D0" w14:textId="77777777" w:rsidTr="003C23A5">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4596972"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Юли</w:t>
            </w:r>
          </w:p>
        </w:tc>
        <w:tc>
          <w:tcPr>
            <w:tcW w:w="1903" w:type="dxa"/>
            <w:tcBorders>
              <w:top w:val="nil"/>
              <w:left w:val="single" w:sz="4" w:space="0" w:color="auto"/>
              <w:bottom w:val="single" w:sz="4" w:space="0" w:color="auto"/>
              <w:right w:val="single" w:sz="4" w:space="0" w:color="auto"/>
            </w:tcBorders>
            <w:shd w:val="clear" w:color="auto" w:fill="auto"/>
            <w:noWrap/>
            <w:hideMark/>
          </w:tcPr>
          <w:p w14:paraId="552F2C4E" w14:textId="7D4E0484" w:rsidR="005404EA" w:rsidRPr="00AA34BE" w:rsidRDefault="005404EA" w:rsidP="005404EA">
            <w:pPr>
              <w:ind w:left="709"/>
              <w:jc w:val="right"/>
              <w:rPr>
                <w:rFonts w:cs="Arial"/>
                <w:color w:val="000000" w:themeColor="text1"/>
              </w:rPr>
            </w:pPr>
            <w:r w:rsidRPr="00C77D4D">
              <w:rPr>
                <w:rFonts w:cs="Arial"/>
                <w:color w:val="000000" w:themeColor="text1"/>
                <w:sz w:val="20"/>
                <w:szCs w:val="20"/>
                <w:lang w:val="en-US"/>
              </w:rPr>
              <w:t>x xxx</w:t>
            </w:r>
          </w:p>
        </w:tc>
        <w:tc>
          <w:tcPr>
            <w:tcW w:w="1924" w:type="dxa"/>
            <w:tcBorders>
              <w:top w:val="nil"/>
              <w:left w:val="nil"/>
              <w:bottom w:val="single" w:sz="4" w:space="0" w:color="auto"/>
              <w:right w:val="single" w:sz="8" w:space="0" w:color="auto"/>
            </w:tcBorders>
            <w:shd w:val="clear" w:color="auto" w:fill="auto"/>
            <w:noWrap/>
            <w:hideMark/>
          </w:tcPr>
          <w:p w14:paraId="0DC389C6" w14:textId="7062ECA8"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5404EA" w:rsidRPr="00AA34BE" w14:paraId="64AAC42C" w14:textId="77777777" w:rsidTr="003C23A5">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282EF9F6"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Август</w:t>
            </w:r>
          </w:p>
        </w:tc>
        <w:tc>
          <w:tcPr>
            <w:tcW w:w="1903" w:type="dxa"/>
            <w:tcBorders>
              <w:top w:val="nil"/>
              <w:left w:val="single" w:sz="4" w:space="0" w:color="auto"/>
              <w:bottom w:val="single" w:sz="4" w:space="0" w:color="auto"/>
              <w:right w:val="single" w:sz="4" w:space="0" w:color="auto"/>
            </w:tcBorders>
            <w:shd w:val="clear" w:color="auto" w:fill="auto"/>
            <w:noWrap/>
            <w:hideMark/>
          </w:tcPr>
          <w:p w14:paraId="2D380C37" w14:textId="4BDAB11A" w:rsidR="005404EA" w:rsidRPr="00AA34BE" w:rsidRDefault="005404EA" w:rsidP="005404EA">
            <w:pPr>
              <w:ind w:left="709"/>
              <w:jc w:val="right"/>
              <w:rPr>
                <w:rFonts w:cs="Arial"/>
                <w:color w:val="000000" w:themeColor="text1"/>
              </w:rPr>
            </w:pPr>
            <w:r w:rsidRPr="00C77D4D">
              <w:rPr>
                <w:rFonts w:cs="Arial"/>
                <w:color w:val="000000" w:themeColor="text1"/>
                <w:sz w:val="20"/>
                <w:szCs w:val="20"/>
                <w:lang w:val="en-US"/>
              </w:rPr>
              <w:t>x xxx</w:t>
            </w:r>
          </w:p>
        </w:tc>
        <w:tc>
          <w:tcPr>
            <w:tcW w:w="1924" w:type="dxa"/>
            <w:tcBorders>
              <w:top w:val="nil"/>
              <w:left w:val="nil"/>
              <w:bottom w:val="single" w:sz="4" w:space="0" w:color="auto"/>
              <w:right w:val="single" w:sz="8" w:space="0" w:color="auto"/>
            </w:tcBorders>
            <w:shd w:val="clear" w:color="auto" w:fill="auto"/>
            <w:noWrap/>
            <w:hideMark/>
          </w:tcPr>
          <w:p w14:paraId="5A395626" w14:textId="7A982AFD"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5404EA" w:rsidRPr="00AA34BE" w14:paraId="2226E778" w14:textId="77777777" w:rsidTr="003C23A5">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0634BA0F"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Септември</w:t>
            </w:r>
          </w:p>
        </w:tc>
        <w:tc>
          <w:tcPr>
            <w:tcW w:w="1903" w:type="dxa"/>
            <w:tcBorders>
              <w:top w:val="nil"/>
              <w:left w:val="single" w:sz="4" w:space="0" w:color="auto"/>
              <w:bottom w:val="single" w:sz="4" w:space="0" w:color="auto"/>
              <w:right w:val="single" w:sz="4" w:space="0" w:color="auto"/>
            </w:tcBorders>
            <w:shd w:val="clear" w:color="auto" w:fill="auto"/>
            <w:noWrap/>
            <w:hideMark/>
          </w:tcPr>
          <w:p w14:paraId="2FD27E68" w14:textId="7EF1BDCD" w:rsidR="005404EA" w:rsidRPr="00AA34BE" w:rsidRDefault="005404EA" w:rsidP="005404EA">
            <w:pPr>
              <w:ind w:left="709"/>
              <w:jc w:val="right"/>
              <w:rPr>
                <w:rFonts w:cs="Arial"/>
                <w:color w:val="000000" w:themeColor="text1"/>
              </w:rPr>
            </w:pPr>
            <w:r w:rsidRPr="00C77D4D">
              <w:rPr>
                <w:rFonts w:cs="Arial"/>
                <w:color w:val="000000" w:themeColor="text1"/>
                <w:sz w:val="20"/>
                <w:szCs w:val="20"/>
                <w:lang w:val="en-US"/>
              </w:rPr>
              <w:t>x xxx</w:t>
            </w:r>
          </w:p>
        </w:tc>
        <w:tc>
          <w:tcPr>
            <w:tcW w:w="1924" w:type="dxa"/>
            <w:tcBorders>
              <w:top w:val="nil"/>
              <w:left w:val="nil"/>
              <w:bottom w:val="single" w:sz="4" w:space="0" w:color="auto"/>
              <w:right w:val="single" w:sz="8" w:space="0" w:color="auto"/>
            </w:tcBorders>
            <w:shd w:val="clear" w:color="auto" w:fill="auto"/>
            <w:noWrap/>
            <w:hideMark/>
          </w:tcPr>
          <w:p w14:paraId="39483506" w14:textId="79684A9F"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5404EA" w:rsidRPr="00AA34BE" w14:paraId="7A7645F3" w14:textId="77777777" w:rsidTr="003C23A5">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498ABA97"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Октомври</w:t>
            </w:r>
          </w:p>
        </w:tc>
        <w:tc>
          <w:tcPr>
            <w:tcW w:w="1903" w:type="dxa"/>
            <w:tcBorders>
              <w:top w:val="nil"/>
              <w:left w:val="single" w:sz="4" w:space="0" w:color="auto"/>
              <w:bottom w:val="single" w:sz="4" w:space="0" w:color="auto"/>
              <w:right w:val="single" w:sz="4" w:space="0" w:color="auto"/>
            </w:tcBorders>
            <w:shd w:val="clear" w:color="auto" w:fill="auto"/>
            <w:noWrap/>
            <w:hideMark/>
          </w:tcPr>
          <w:p w14:paraId="6A24FE15" w14:textId="1CC371A3" w:rsidR="005404EA" w:rsidRPr="00AA34BE" w:rsidRDefault="005404EA" w:rsidP="005404EA">
            <w:pPr>
              <w:ind w:left="709"/>
              <w:jc w:val="right"/>
              <w:rPr>
                <w:rFonts w:cs="Arial"/>
                <w:color w:val="000000" w:themeColor="text1"/>
              </w:rPr>
            </w:pPr>
            <w:r w:rsidRPr="00C77D4D">
              <w:rPr>
                <w:rFonts w:cs="Arial"/>
                <w:color w:val="000000" w:themeColor="text1"/>
                <w:sz w:val="20"/>
                <w:szCs w:val="20"/>
                <w:lang w:val="en-US"/>
              </w:rPr>
              <w:t>x xxx</w:t>
            </w:r>
          </w:p>
        </w:tc>
        <w:tc>
          <w:tcPr>
            <w:tcW w:w="1924" w:type="dxa"/>
            <w:tcBorders>
              <w:top w:val="nil"/>
              <w:left w:val="nil"/>
              <w:bottom w:val="single" w:sz="4" w:space="0" w:color="auto"/>
              <w:right w:val="single" w:sz="8" w:space="0" w:color="auto"/>
            </w:tcBorders>
            <w:shd w:val="clear" w:color="auto" w:fill="auto"/>
            <w:noWrap/>
            <w:hideMark/>
          </w:tcPr>
          <w:p w14:paraId="2834538E" w14:textId="75D03D67"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5404EA" w:rsidRPr="00AA34BE" w14:paraId="41B3F166" w14:textId="77777777" w:rsidTr="003C23A5">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2666738A"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Ноември</w:t>
            </w:r>
          </w:p>
        </w:tc>
        <w:tc>
          <w:tcPr>
            <w:tcW w:w="1903" w:type="dxa"/>
            <w:tcBorders>
              <w:top w:val="nil"/>
              <w:left w:val="single" w:sz="4" w:space="0" w:color="auto"/>
              <w:bottom w:val="single" w:sz="4" w:space="0" w:color="auto"/>
              <w:right w:val="single" w:sz="4" w:space="0" w:color="auto"/>
            </w:tcBorders>
            <w:shd w:val="clear" w:color="auto" w:fill="auto"/>
            <w:noWrap/>
            <w:hideMark/>
          </w:tcPr>
          <w:p w14:paraId="436B3D24" w14:textId="67E6ED0F" w:rsidR="005404EA" w:rsidRPr="00AA34BE" w:rsidRDefault="005404EA" w:rsidP="005404EA">
            <w:pPr>
              <w:ind w:left="709"/>
              <w:jc w:val="right"/>
              <w:rPr>
                <w:rFonts w:cs="Arial"/>
                <w:color w:val="000000" w:themeColor="text1"/>
              </w:rPr>
            </w:pPr>
            <w:r w:rsidRPr="00A177D1">
              <w:rPr>
                <w:rFonts w:cs="Arial"/>
                <w:color w:val="000000" w:themeColor="text1"/>
                <w:sz w:val="20"/>
                <w:szCs w:val="20"/>
                <w:lang w:val="en-US"/>
              </w:rPr>
              <w:t>xx xxx</w:t>
            </w:r>
          </w:p>
        </w:tc>
        <w:tc>
          <w:tcPr>
            <w:tcW w:w="1924" w:type="dxa"/>
            <w:tcBorders>
              <w:top w:val="nil"/>
              <w:left w:val="nil"/>
              <w:bottom w:val="single" w:sz="4" w:space="0" w:color="auto"/>
              <w:right w:val="single" w:sz="8" w:space="0" w:color="auto"/>
            </w:tcBorders>
            <w:shd w:val="clear" w:color="auto" w:fill="auto"/>
            <w:noWrap/>
            <w:hideMark/>
          </w:tcPr>
          <w:p w14:paraId="041556EA" w14:textId="6DBDFA9B"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5404EA" w:rsidRPr="00AA34BE" w14:paraId="778A69CC" w14:textId="77777777" w:rsidTr="003C23A5">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2F40BE35"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Декември</w:t>
            </w:r>
          </w:p>
        </w:tc>
        <w:tc>
          <w:tcPr>
            <w:tcW w:w="1903" w:type="dxa"/>
            <w:tcBorders>
              <w:top w:val="nil"/>
              <w:left w:val="single" w:sz="4" w:space="0" w:color="auto"/>
              <w:bottom w:val="single" w:sz="8" w:space="0" w:color="auto"/>
              <w:right w:val="single" w:sz="4" w:space="0" w:color="auto"/>
            </w:tcBorders>
            <w:shd w:val="clear" w:color="auto" w:fill="auto"/>
            <w:noWrap/>
            <w:hideMark/>
          </w:tcPr>
          <w:p w14:paraId="61CDBD29" w14:textId="1402D67E" w:rsidR="005404EA" w:rsidRPr="00AA34BE" w:rsidRDefault="005404EA" w:rsidP="005404EA">
            <w:pPr>
              <w:ind w:left="709"/>
              <w:jc w:val="right"/>
              <w:rPr>
                <w:rFonts w:cs="Arial"/>
                <w:color w:val="000000" w:themeColor="text1"/>
              </w:rPr>
            </w:pPr>
            <w:r w:rsidRPr="00A177D1">
              <w:rPr>
                <w:rFonts w:cs="Arial"/>
                <w:color w:val="000000" w:themeColor="text1"/>
                <w:sz w:val="20"/>
                <w:szCs w:val="20"/>
                <w:lang w:val="en-US"/>
              </w:rPr>
              <w:t>xx xxx</w:t>
            </w:r>
          </w:p>
        </w:tc>
        <w:tc>
          <w:tcPr>
            <w:tcW w:w="1924" w:type="dxa"/>
            <w:tcBorders>
              <w:top w:val="nil"/>
              <w:left w:val="nil"/>
              <w:bottom w:val="single" w:sz="8" w:space="0" w:color="auto"/>
              <w:right w:val="single" w:sz="8" w:space="0" w:color="auto"/>
            </w:tcBorders>
            <w:shd w:val="clear" w:color="auto" w:fill="auto"/>
            <w:noWrap/>
            <w:hideMark/>
          </w:tcPr>
          <w:p w14:paraId="2CDEB9CB" w14:textId="48F1774D" w:rsidR="005404EA" w:rsidRPr="00AA34BE" w:rsidRDefault="005404EA" w:rsidP="005404EA">
            <w:pPr>
              <w:ind w:left="709"/>
              <w:jc w:val="right"/>
              <w:rPr>
                <w:rFonts w:cs="Arial"/>
                <w:color w:val="000000" w:themeColor="text1"/>
              </w:rPr>
            </w:pPr>
            <w:r w:rsidRPr="009B36E7">
              <w:rPr>
                <w:rFonts w:cs="Arial"/>
                <w:color w:val="000000" w:themeColor="text1"/>
                <w:sz w:val="20"/>
                <w:szCs w:val="20"/>
                <w:lang w:val="en-US"/>
              </w:rPr>
              <w:t>x xxx</w:t>
            </w:r>
          </w:p>
        </w:tc>
      </w:tr>
      <w:tr w:rsidR="00D923BB" w:rsidRPr="00AA34BE" w14:paraId="2D451E49" w14:textId="77777777" w:rsidTr="006240A3">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1409BB23" w14:textId="77777777" w:rsidR="00D923BB" w:rsidRPr="00AA34BE" w:rsidRDefault="00D923BB" w:rsidP="006240A3">
            <w:pPr>
              <w:ind w:left="709"/>
              <w:rPr>
                <w:rFonts w:cs="Arial"/>
                <w:b/>
                <w:bCs/>
                <w:color w:val="000000" w:themeColor="text1"/>
                <w:sz w:val="18"/>
                <w:szCs w:val="18"/>
              </w:rPr>
            </w:pPr>
            <w:r w:rsidRPr="00AA34BE">
              <w:rPr>
                <w:rFonts w:cs="Arial"/>
                <w:b/>
                <w:bCs/>
                <w:color w:val="000000" w:themeColor="text1"/>
                <w:sz w:val="18"/>
                <w:szCs w:val="18"/>
              </w:rPr>
              <w:t>общо</w:t>
            </w:r>
          </w:p>
        </w:tc>
        <w:tc>
          <w:tcPr>
            <w:tcW w:w="1903" w:type="dxa"/>
            <w:tcBorders>
              <w:top w:val="nil"/>
              <w:left w:val="single" w:sz="4" w:space="0" w:color="auto"/>
              <w:bottom w:val="single" w:sz="8" w:space="0" w:color="auto"/>
              <w:right w:val="single" w:sz="4" w:space="0" w:color="auto"/>
            </w:tcBorders>
            <w:shd w:val="clear" w:color="auto" w:fill="auto"/>
            <w:noWrap/>
            <w:vAlign w:val="bottom"/>
            <w:hideMark/>
          </w:tcPr>
          <w:p w14:paraId="545CE34A" w14:textId="37678E25" w:rsidR="00D923BB" w:rsidRPr="005404EA" w:rsidRDefault="005404EA" w:rsidP="006240A3">
            <w:pPr>
              <w:ind w:left="709"/>
              <w:jc w:val="right"/>
              <w:rPr>
                <w:rFonts w:cs="Arial"/>
                <w:b/>
                <w:bCs/>
                <w:color w:val="000000" w:themeColor="text1"/>
                <w:lang w:val="en-US"/>
              </w:rPr>
            </w:pPr>
            <w:r>
              <w:rPr>
                <w:rFonts w:cs="Arial"/>
                <w:b/>
                <w:bCs/>
                <w:color w:val="000000" w:themeColor="text1"/>
                <w:sz w:val="20"/>
                <w:szCs w:val="20"/>
                <w:lang w:val="en-US"/>
              </w:rPr>
              <w:t xml:space="preserve">xxx </w:t>
            </w:r>
            <w:proofErr w:type="spellStart"/>
            <w:r>
              <w:rPr>
                <w:rFonts w:cs="Arial"/>
                <w:b/>
                <w:bCs/>
                <w:color w:val="000000" w:themeColor="text1"/>
                <w:sz w:val="20"/>
                <w:szCs w:val="20"/>
                <w:lang w:val="en-US"/>
              </w:rPr>
              <w:t>xxx</w:t>
            </w:r>
            <w:proofErr w:type="spellEnd"/>
          </w:p>
        </w:tc>
        <w:tc>
          <w:tcPr>
            <w:tcW w:w="1924" w:type="dxa"/>
            <w:tcBorders>
              <w:top w:val="nil"/>
              <w:left w:val="nil"/>
              <w:bottom w:val="single" w:sz="8" w:space="0" w:color="auto"/>
              <w:right w:val="single" w:sz="8" w:space="0" w:color="auto"/>
            </w:tcBorders>
            <w:shd w:val="clear" w:color="auto" w:fill="auto"/>
            <w:noWrap/>
            <w:vAlign w:val="bottom"/>
            <w:hideMark/>
          </w:tcPr>
          <w:p w14:paraId="0A8862DB" w14:textId="5E2DED35" w:rsidR="00D923BB" w:rsidRPr="005404EA" w:rsidRDefault="005404EA" w:rsidP="006240A3">
            <w:pPr>
              <w:ind w:left="709"/>
              <w:jc w:val="right"/>
              <w:rPr>
                <w:rFonts w:cs="Arial"/>
                <w:b/>
                <w:bCs/>
                <w:color w:val="000000" w:themeColor="text1"/>
                <w:lang w:val="en-US"/>
              </w:rPr>
            </w:pPr>
            <w:r>
              <w:rPr>
                <w:rFonts w:cs="Arial"/>
                <w:b/>
                <w:bCs/>
                <w:color w:val="000000" w:themeColor="text1"/>
                <w:sz w:val="20"/>
                <w:szCs w:val="20"/>
                <w:lang w:val="en-US"/>
              </w:rPr>
              <w:t>xx xxx</w:t>
            </w:r>
          </w:p>
        </w:tc>
      </w:tr>
    </w:tbl>
    <w:p w14:paraId="4FA7AF3C" w14:textId="77777777" w:rsidR="00D923BB" w:rsidRPr="00AA34BE" w:rsidRDefault="00D923BB" w:rsidP="00D923BB">
      <w:pPr>
        <w:ind w:left="709"/>
        <w:rPr>
          <w:rFonts w:cs="Arial"/>
          <w:color w:val="000000" w:themeColor="text1"/>
        </w:rPr>
      </w:pPr>
    </w:p>
    <w:p w14:paraId="6EFA6D08" w14:textId="77777777" w:rsidR="00D923BB" w:rsidRPr="00AA34BE" w:rsidRDefault="00D923BB" w:rsidP="00D923BB">
      <w:pPr>
        <w:ind w:left="709"/>
        <w:rPr>
          <w:rFonts w:cs="Arial"/>
          <w:color w:val="000000" w:themeColor="text1"/>
        </w:rPr>
      </w:pPr>
    </w:p>
    <w:p w14:paraId="1835BCC0" w14:textId="77777777" w:rsidR="00D923BB" w:rsidRPr="00AA34BE" w:rsidRDefault="00D923BB" w:rsidP="00D923BB">
      <w:pPr>
        <w:ind w:left="709"/>
        <w:rPr>
          <w:rFonts w:cs="Arial"/>
          <w:color w:val="000000" w:themeColor="text1"/>
        </w:rPr>
      </w:pPr>
    </w:p>
    <w:p w14:paraId="6096DA81" w14:textId="77777777" w:rsidR="00D923BB" w:rsidRPr="00AA34BE" w:rsidRDefault="00D923BB" w:rsidP="00D923BB">
      <w:pPr>
        <w:numPr>
          <w:ilvl w:val="0"/>
          <w:numId w:val="14"/>
        </w:numPr>
        <w:spacing w:line="240" w:lineRule="auto"/>
        <w:ind w:left="709"/>
        <w:jc w:val="both"/>
        <w:rPr>
          <w:rFonts w:cs="Arial"/>
          <w:b/>
          <w:color w:val="000000" w:themeColor="text1"/>
        </w:rPr>
      </w:pPr>
      <w:r w:rsidRPr="00AA34BE">
        <w:rPr>
          <w:rFonts w:cs="Arial"/>
          <w:b/>
          <w:color w:val="000000" w:themeColor="text1"/>
        </w:rPr>
        <w:t>Необходими прогнозни количества топлинна енергия за ценовия период от 01.07.202</w:t>
      </w:r>
      <w:r w:rsidRPr="00AA34BE">
        <w:rPr>
          <w:rFonts w:cs="Arial"/>
          <w:b/>
          <w:color w:val="000000" w:themeColor="text1"/>
          <w:lang w:val="en-US"/>
        </w:rPr>
        <w:t xml:space="preserve">4 </w:t>
      </w:r>
      <w:r w:rsidRPr="00AA34BE">
        <w:rPr>
          <w:rFonts w:cs="Arial"/>
          <w:b/>
          <w:color w:val="000000" w:themeColor="text1"/>
        </w:rPr>
        <w:t>г. до 30.06.202</w:t>
      </w:r>
      <w:r w:rsidRPr="00AA34BE">
        <w:rPr>
          <w:rFonts w:cs="Arial"/>
          <w:b/>
          <w:color w:val="000000" w:themeColor="text1"/>
          <w:lang w:val="en-US"/>
        </w:rPr>
        <w:t xml:space="preserve">5 </w:t>
      </w:r>
      <w:r w:rsidRPr="00AA34BE">
        <w:rPr>
          <w:rFonts w:cs="Arial"/>
          <w:b/>
          <w:color w:val="000000" w:themeColor="text1"/>
        </w:rPr>
        <w:t xml:space="preserve">г. </w:t>
      </w:r>
    </w:p>
    <w:p w14:paraId="16496F04" w14:textId="7CD6D0D6" w:rsidR="00D923BB" w:rsidRPr="00AA34BE" w:rsidRDefault="00D923BB" w:rsidP="00D923BB">
      <w:pPr>
        <w:spacing w:line="240" w:lineRule="auto"/>
        <w:ind w:left="709"/>
        <w:jc w:val="both"/>
        <w:rPr>
          <w:rFonts w:cs="Arial"/>
          <w:color w:val="000000" w:themeColor="text1"/>
        </w:rPr>
      </w:pPr>
      <w:bookmarkStart w:id="10" w:name="_Hlk114211103"/>
      <w:r w:rsidRPr="00AA34BE">
        <w:rPr>
          <w:rFonts w:cs="Arial"/>
          <w:color w:val="000000" w:themeColor="text1"/>
        </w:rPr>
        <w:t>На база направения анализ и така описаните елементи на технологичните разходи по преноса на топлинна енергия, за новия ценови период, с начало от 01.07.202</w:t>
      </w:r>
      <w:r w:rsidRPr="00AA34BE">
        <w:rPr>
          <w:rFonts w:cs="Arial"/>
          <w:color w:val="000000" w:themeColor="text1"/>
          <w:lang w:val="en-US"/>
        </w:rPr>
        <w:t>4</w:t>
      </w:r>
      <w:r w:rsidRPr="00AA34BE">
        <w:rPr>
          <w:rFonts w:cs="Arial"/>
          <w:color w:val="000000" w:themeColor="text1"/>
        </w:rPr>
        <w:t xml:space="preserve"> г. ЕВН ТР е прогнозирало, че размерът на технологичните разходи по преноса следва да възлиза на </w:t>
      </w:r>
      <w:proofErr w:type="spellStart"/>
      <w:r w:rsidR="005404EA">
        <w:rPr>
          <w:rFonts w:cs="Arial"/>
          <w:color w:val="000000" w:themeColor="text1"/>
          <w:lang w:val="en-US"/>
        </w:rPr>
        <w:t>xx,xx</w:t>
      </w:r>
      <w:proofErr w:type="spellEnd"/>
      <w:r w:rsidRPr="00AA34BE">
        <w:rPr>
          <w:rFonts w:cs="Arial"/>
          <w:color w:val="000000" w:themeColor="text1"/>
        </w:rPr>
        <w:t xml:space="preserve"> % от прогнозното производство на топлинна енергия</w:t>
      </w:r>
      <w:bookmarkEnd w:id="10"/>
      <w:r w:rsidRPr="00AA34BE">
        <w:rPr>
          <w:rFonts w:cs="Arial"/>
          <w:color w:val="000000" w:themeColor="text1"/>
        </w:rPr>
        <w:t>, като разпределението по месеци спрямо календарната 202</w:t>
      </w:r>
      <w:r w:rsidRPr="00AA34BE">
        <w:rPr>
          <w:rFonts w:cs="Arial"/>
          <w:color w:val="000000" w:themeColor="text1"/>
          <w:lang w:val="en-US"/>
        </w:rPr>
        <w:t>3</w:t>
      </w:r>
      <w:r w:rsidRPr="00AA34BE">
        <w:rPr>
          <w:rFonts w:cs="Arial"/>
          <w:color w:val="000000" w:themeColor="text1"/>
        </w:rPr>
        <w:t xml:space="preserve"> г. е както следва:</w:t>
      </w:r>
    </w:p>
    <w:p w14:paraId="1A34B25D" w14:textId="77777777" w:rsidR="00D923BB" w:rsidRPr="00AA34BE" w:rsidRDefault="00D923BB" w:rsidP="00D923BB">
      <w:pPr>
        <w:ind w:left="709"/>
        <w:rPr>
          <w:rFonts w:cs="Arial"/>
          <w:color w:val="000000" w:themeColor="text1"/>
        </w:rPr>
      </w:pPr>
    </w:p>
    <w:tbl>
      <w:tblPr>
        <w:tblW w:w="5980" w:type="dxa"/>
        <w:jc w:val="center"/>
        <w:tblCellMar>
          <w:left w:w="70" w:type="dxa"/>
          <w:right w:w="70" w:type="dxa"/>
        </w:tblCellMar>
        <w:tblLook w:val="04A0" w:firstRow="1" w:lastRow="0" w:firstColumn="1" w:lastColumn="0" w:noHBand="0" w:noVBand="1"/>
      </w:tblPr>
      <w:tblGrid>
        <w:gridCol w:w="1730"/>
        <w:gridCol w:w="2124"/>
        <w:gridCol w:w="2126"/>
      </w:tblGrid>
      <w:tr w:rsidR="00AA34BE" w:rsidRPr="00AA34BE" w14:paraId="54F576A5" w14:textId="77777777" w:rsidTr="006240A3">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2AB5F51" w14:textId="77777777" w:rsidR="00D923BB" w:rsidRPr="00AA34BE" w:rsidRDefault="00D923BB" w:rsidP="006240A3">
            <w:pPr>
              <w:ind w:left="709"/>
              <w:rPr>
                <w:rFonts w:cs="Arial"/>
                <w:color w:val="000000" w:themeColor="text1"/>
                <w:sz w:val="18"/>
                <w:szCs w:val="18"/>
              </w:rPr>
            </w:pPr>
            <w:r w:rsidRPr="00AA34BE">
              <w:rPr>
                <w:rFonts w:cs="Arial"/>
                <w:color w:val="000000" w:themeColor="text1"/>
                <w:sz w:val="18"/>
                <w:szCs w:val="18"/>
              </w:rPr>
              <w:t>МЕСЕЦ</w:t>
            </w:r>
          </w:p>
        </w:tc>
        <w:tc>
          <w:tcPr>
            <w:tcW w:w="2124" w:type="dxa"/>
            <w:tcBorders>
              <w:top w:val="single" w:sz="8" w:space="0" w:color="auto"/>
              <w:left w:val="nil"/>
              <w:bottom w:val="single" w:sz="4" w:space="0" w:color="auto"/>
              <w:right w:val="single" w:sz="4" w:space="0" w:color="auto"/>
            </w:tcBorders>
            <w:shd w:val="clear" w:color="auto" w:fill="auto"/>
            <w:noWrap/>
            <w:vAlign w:val="bottom"/>
            <w:hideMark/>
          </w:tcPr>
          <w:p w14:paraId="337495D8" w14:textId="77777777" w:rsidR="00D923BB" w:rsidRPr="00AA34BE" w:rsidRDefault="00D923BB" w:rsidP="006240A3">
            <w:pPr>
              <w:ind w:left="709"/>
              <w:jc w:val="center"/>
              <w:rPr>
                <w:rFonts w:cs="Arial"/>
                <w:color w:val="000000" w:themeColor="text1"/>
                <w:sz w:val="18"/>
                <w:szCs w:val="18"/>
                <w:lang w:val="en-US"/>
              </w:rPr>
            </w:pPr>
            <w:r w:rsidRPr="00AA34BE">
              <w:rPr>
                <w:rFonts w:cs="Arial"/>
                <w:color w:val="000000" w:themeColor="text1"/>
                <w:sz w:val="18"/>
                <w:szCs w:val="18"/>
              </w:rPr>
              <w:t>календарна 202</w:t>
            </w:r>
            <w:r w:rsidRPr="00AA34BE">
              <w:rPr>
                <w:rFonts w:cs="Arial"/>
                <w:color w:val="000000" w:themeColor="text1"/>
                <w:sz w:val="18"/>
                <w:szCs w:val="18"/>
                <w:lang w:val="en-US"/>
              </w:rPr>
              <w:t>3</w:t>
            </w:r>
          </w:p>
        </w:tc>
        <w:tc>
          <w:tcPr>
            <w:tcW w:w="2126" w:type="dxa"/>
            <w:tcBorders>
              <w:top w:val="single" w:sz="8" w:space="0" w:color="auto"/>
              <w:left w:val="nil"/>
              <w:bottom w:val="single" w:sz="4" w:space="0" w:color="auto"/>
              <w:right w:val="single" w:sz="8" w:space="0" w:color="auto"/>
            </w:tcBorders>
            <w:shd w:val="clear" w:color="auto" w:fill="auto"/>
            <w:noWrap/>
            <w:vAlign w:val="bottom"/>
            <w:hideMark/>
          </w:tcPr>
          <w:p w14:paraId="1AA55D35" w14:textId="77777777" w:rsidR="00D923BB" w:rsidRPr="00AA34BE" w:rsidRDefault="00D923BB" w:rsidP="006240A3">
            <w:pPr>
              <w:ind w:left="709"/>
              <w:jc w:val="center"/>
              <w:rPr>
                <w:rFonts w:cs="Arial"/>
                <w:color w:val="000000" w:themeColor="text1"/>
                <w:sz w:val="18"/>
                <w:szCs w:val="18"/>
                <w:lang w:val="en-US"/>
              </w:rPr>
            </w:pPr>
            <w:r w:rsidRPr="00AA34BE">
              <w:rPr>
                <w:rFonts w:cs="Arial"/>
                <w:color w:val="000000" w:themeColor="text1"/>
                <w:sz w:val="18"/>
                <w:szCs w:val="18"/>
              </w:rPr>
              <w:t>202</w:t>
            </w:r>
            <w:r w:rsidRPr="00AA34BE">
              <w:rPr>
                <w:rFonts w:cs="Arial"/>
                <w:color w:val="000000" w:themeColor="text1"/>
                <w:sz w:val="18"/>
                <w:szCs w:val="18"/>
                <w:lang w:val="en-US"/>
              </w:rPr>
              <w:t>4</w:t>
            </w:r>
            <w:r w:rsidRPr="00AA34BE">
              <w:rPr>
                <w:rFonts w:cs="Arial"/>
                <w:color w:val="000000" w:themeColor="text1"/>
                <w:sz w:val="18"/>
                <w:szCs w:val="18"/>
              </w:rPr>
              <w:t>/202</w:t>
            </w:r>
            <w:r w:rsidRPr="00AA34BE">
              <w:rPr>
                <w:rFonts w:cs="Arial"/>
                <w:color w:val="000000" w:themeColor="text1"/>
                <w:sz w:val="18"/>
                <w:szCs w:val="18"/>
                <w:lang w:val="en-US"/>
              </w:rPr>
              <w:t>5</w:t>
            </w:r>
          </w:p>
        </w:tc>
      </w:tr>
      <w:tr w:rsidR="00AA34BE" w:rsidRPr="00AA34BE" w14:paraId="6D7D3E46" w14:textId="77777777" w:rsidTr="006240A3">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7D58137" w14:textId="77777777" w:rsidR="00D923BB" w:rsidRPr="00AA34BE" w:rsidRDefault="00D923BB" w:rsidP="006240A3">
            <w:pPr>
              <w:ind w:left="709"/>
              <w:rPr>
                <w:rFonts w:cs="Arial"/>
                <w:color w:val="000000" w:themeColor="text1"/>
                <w:sz w:val="18"/>
                <w:szCs w:val="18"/>
              </w:rPr>
            </w:pPr>
            <w:r w:rsidRPr="00AA34BE">
              <w:rPr>
                <w:rFonts w:cs="Arial"/>
                <w:color w:val="000000" w:themeColor="text1"/>
                <w:sz w:val="18"/>
                <w:szCs w:val="18"/>
              </w:rPr>
              <w:t> </w:t>
            </w:r>
          </w:p>
        </w:tc>
        <w:tc>
          <w:tcPr>
            <w:tcW w:w="2124" w:type="dxa"/>
            <w:tcBorders>
              <w:top w:val="nil"/>
              <w:left w:val="nil"/>
              <w:bottom w:val="single" w:sz="4" w:space="0" w:color="auto"/>
              <w:right w:val="single" w:sz="4" w:space="0" w:color="auto"/>
            </w:tcBorders>
            <w:shd w:val="clear" w:color="auto" w:fill="auto"/>
            <w:vAlign w:val="bottom"/>
            <w:hideMark/>
          </w:tcPr>
          <w:p w14:paraId="04CAFCB1"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Технологични разходи</w:t>
            </w:r>
          </w:p>
        </w:tc>
        <w:tc>
          <w:tcPr>
            <w:tcW w:w="2126" w:type="dxa"/>
            <w:tcBorders>
              <w:top w:val="nil"/>
              <w:left w:val="nil"/>
              <w:bottom w:val="single" w:sz="4" w:space="0" w:color="auto"/>
              <w:right w:val="single" w:sz="8" w:space="0" w:color="auto"/>
            </w:tcBorders>
            <w:shd w:val="clear" w:color="auto" w:fill="auto"/>
            <w:vAlign w:val="bottom"/>
            <w:hideMark/>
          </w:tcPr>
          <w:p w14:paraId="7A4CC061"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Технологични разходи</w:t>
            </w:r>
          </w:p>
        </w:tc>
      </w:tr>
      <w:tr w:rsidR="00AA34BE" w:rsidRPr="00AA34BE" w14:paraId="040E4B24" w14:textId="77777777" w:rsidTr="006240A3">
        <w:trPr>
          <w:trHeight w:val="227"/>
          <w:jc w:val="center"/>
        </w:trPr>
        <w:tc>
          <w:tcPr>
            <w:tcW w:w="1730" w:type="dxa"/>
            <w:tcBorders>
              <w:top w:val="nil"/>
              <w:left w:val="single" w:sz="8" w:space="0" w:color="auto"/>
              <w:bottom w:val="nil"/>
              <w:right w:val="single" w:sz="4" w:space="0" w:color="auto"/>
            </w:tcBorders>
            <w:shd w:val="clear" w:color="auto" w:fill="auto"/>
            <w:noWrap/>
            <w:vAlign w:val="bottom"/>
            <w:hideMark/>
          </w:tcPr>
          <w:p w14:paraId="78CAF924"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w:t>
            </w:r>
          </w:p>
        </w:tc>
        <w:tc>
          <w:tcPr>
            <w:tcW w:w="2124" w:type="dxa"/>
            <w:tcBorders>
              <w:top w:val="nil"/>
              <w:left w:val="nil"/>
              <w:bottom w:val="nil"/>
              <w:right w:val="single" w:sz="4" w:space="0" w:color="auto"/>
            </w:tcBorders>
            <w:shd w:val="clear" w:color="auto" w:fill="auto"/>
            <w:noWrap/>
            <w:vAlign w:val="bottom"/>
            <w:hideMark/>
          </w:tcPr>
          <w:p w14:paraId="1DC4C1B5"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MWh</w:t>
            </w:r>
          </w:p>
        </w:tc>
        <w:tc>
          <w:tcPr>
            <w:tcW w:w="2126" w:type="dxa"/>
            <w:tcBorders>
              <w:top w:val="nil"/>
              <w:left w:val="nil"/>
              <w:bottom w:val="nil"/>
              <w:right w:val="single" w:sz="8" w:space="0" w:color="auto"/>
            </w:tcBorders>
            <w:shd w:val="clear" w:color="auto" w:fill="auto"/>
            <w:noWrap/>
            <w:vAlign w:val="bottom"/>
            <w:hideMark/>
          </w:tcPr>
          <w:p w14:paraId="2047F853" w14:textId="77777777" w:rsidR="00D923BB" w:rsidRPr="00AA34BE" w:rsidRDefault="00D923BB" w:rsidP="006240A3">
            <w:pPr>
              <w:ind w:left="709"/>
              <w:jc w:val="center"/>
              <w:rPr>
                <w:rFonts w:cs="Arial"/>
                <w:color w:val="000000" w:themeColor="text1"/>
                <w:sz w:val="18"/>
                <w:szCs w:val="18"/>
              </w:rPr>
            </w:pPr>
            <w:r w:rsidRPr="00AA34BE">
              <w:rPr>
                <w:rFonts w:cs="Arial"/>
                <w:color w:val="000000" w:themeColor="text1"/>
                <w:sz w:val="18"/>
                <w:szCs w:val="18"/>
              </w:rPr>
              <w:t>MWh</w:t>
            </w:r>
          </w:p>
        </w:tc>
      </w:tr>
      <w:tr w:rsidR="005404EA" w:rsidRPr="00AA34BE" w14:paraId="629EE985" w14:textId="77777777" w:rsidTr="00FF11E8">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3656664"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Януари</w:t>
            </w:r>
          </w:p>
        </w:tc>
        <w:tc>
          <w:tcPr>
            <w:tcW w:w="2124" w:type="dxa"/>
            <w:tcBorders>
              <w:top w:val="single" w:sz="8" w:space="0" w:color="auto"/>
              <w:left w:val="single" w:sz="4" w:space="0" w:color="auto"/>
              <w:bottom w:val="single" w:sz="4" w:space="0" w:color="auto"/>
              <w:right w:val="single" w:sz="4" w:space="0" w:color="auto"/>
            </w:tcBorders>
            <w:shd w:val="clear" w:color="auto" w:fill="auto"/>
            <w:noWrap/>
            <w:hideMark/>
          </w:tcPr>
          <w:p w14:paraId="5415DAA6" w14:textId="559E09E9" w:rsidR="005404EA" w:rsidRPr="00AA34BE" w:rsidRDefault="005404EA" w:rsidP="005404EA">
            <w:pPr>
              <w:ind w:left="709"/>
              <w:jc w:val="right"/>
              <w:rPr>
                <w:rFonts w:cs="Arial"/>
                <w:color w:val="000000" w:themeColor="text1"/>
                <w:sz w:val="18"/>
                <w:szCs w:val="18"/>
              </w:rPr>
            </w:pPr>
            <w:r w:rsidRPr="00191F77">
              <w:rPr>
                <w:rFonts w:cs="Arial"/>
                <w:color w:val="000000" w:themeColor="text1"/>
                <w:sz w:val="20"/>
                <w:szCs w:val="20"/>
                <w:lang w:val="en-US"/>
              </w:rPr>
              <w:t>xx xxx</w:t>
            </w:r>
          </w:p>
        </w:tc>
        <w:tc>
          <w:tcPr>
            <w:tcW w:w="2126" w:type="dxa"/>
            <w:tcBorders>
              <w:top w:val="single" w:sz="8" w:space="0" w:color="auto"/>
              <w:left w:val="nil"/>
              <w:bottom w:val="single" w:sz="4" w:space="0" w:color="auto"/>
              <w:right w:val="single" w:sz="8" w:space="0" w:color="auto"/>
            </w:tcBorders>
            <w:shd w:val="clear" w:color="auto" w:fill="auto"/>
            <w:noWrap/>
            <w:hideMark/>
          </w:tcPr>
          <w:p w14:paraId="657207B7" w14:textId="0F564070" w:rsidR="005404EA" w:rsidRPr="00AA34BE" w:rsidRDefault="005404EA" w:rsidP="005404EA">
            <w:pPr>
              <w:ind w:left="709"/>
              <w:jc w:val="right"/>
              <w:rPr>
                <w:rFonts w:cs="Arial"/>
                <w:color w:val="000000" w:themeColor="text1"/>
                <w:sz w:val="18"/>
                <w:szCs w:val="18"/>
              </w:rPr>
            </w:pPr>
            <w:r w:rsidRPr="00191F77">
              <w:rPr>
                <w:rFonts w:cs="Arial"/>
                <w:color w:val="000000" w:themeColor="text1"/>
                <w:sz w:val="20"/>
                <w:szCs w:val="20"/>
                <w:lang w:val="en-US"/>
              </w:rPr>
              <w:t>xx xxx</w:t>
            </w:r>
          </w:p>
        </w:tc>
      </w:tr>
      <w:tr w:rsidR="005404EA" w:rsidRPr="00AA34BE" w14:paraId="6A64ECE7" w14:textId="77777777" w:rsidTr="00FF11E8">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05717EB1"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Февруари</w:t>
            </w:r>
          </w:p>
        </w:tc>
        <w:tc>
          <w:tcPr>
            <w:tcW w:w="2124" w:type="dxa"/>
            <w:tcBorders>
              <w:top w:val="nil"/>
              <w:left w:val="single" w:sz="4" w:space="0" w:color="auto"/>
              <w:bottom w:val="single" w:sz="4" w:space="0" w:color="auto"/>
              <w:right w:val="single" w:sz="4" w:space="0" w:color="auto"/>
            </w:tcBorders>
            <w:shd w:val="clear" w:color="auto" w:fill="auto"/>
            <w:noWrap/>
            <w:hideMark/>
          </w:tcPr>
          <w:p w14:paraId="6E160AF0" w14:textId="32B58468" w:rsidR="005404EA" w:rsidRPr="00AA34BE" w:rsidRDefault="005404EA" w:rsidP="005404EA">
            <w:pPr>
              <w:ind w:left="709"/>
              <w:jc w:val="right"/>
              <w:rPr>
                <w:rFonts w:cs="Arial"/>
                <w:color w:val="000000" w:themeColor="text1"/>
                <w:sz w:val="18"/>
                <w:szCs w:val="18"/>
              </w:rPr>
            </w:pPr>
            <w:r w:rsidRPr="00191F77">
              <w:rPr>
                <w:rFonts w:cs="Arial"/>
                <w:color w:val="000000" w:themeColor="text1"/>
                <w:sz w:val="20"/>
                <w:szCs w:val="20"/>
                <w:lang w:val="en-US"/>
              </w:rPr>
              <w:t>xx xxx</w:t>
            </w:r>
          </w:p>
        </w:tc>
        <w:tc>
          <w:tcPr>
            <w:tcW w:w="2126" w:type="dxa"/>
            <w:tcBorders>
              <w:top w:val="nil"/>
              <w:left w:val="nil"/>
              <w:bottom w:val="single" w:sz="4" w:space="0" w:color="auto"/>
              <w:right w:val="single" w:sz="8" w:space="0" w:color="auto"/>
            </w:tcBorders>
            <w:shd w:val="clear" w:color="auto" w:fill="auto"/>
            <w:noWrap/>
            <w:hideMark/>
          </w:tcPr>
          <w:p w14:paraId="5EAE93B2" w14:textId="4E5CFB17" w:rsidR="005404EA" w:rsidRPr="00AA34BE" w:rsidRDefault="005404EA" w:rsidP="005404EA">
            <w:pPr>
              <w:ind w:left="709"/>
              <w:jc w:val="right"/>
              <w:rPr>
                <w:rFonts w:cs="Arial"/>
                <w:color w:val="000000" w:themeColor="text1"/>
                <w:sz w:val="18"/>
                <w:szCs w:val="18"/>
              </w:rPr>
            </w:pPr>
            <w:r w:rsidRPr="00191F77">
              <w:rPr>
                <w:rFonts w:cs="Arial"/>
                <w:color w:val="000000" w:themeColor="text1"/>
                <w:sz w:val="20"/>
                <w:szCs w:val="20"/>
                <w:lang w:val="en-US"/>
              </w:rPr>
              <w:t>xx xxx</w:t>
            </w:r>
          </w:p>
        </w:tc>
      </w:tr>
      <w:tr w:rsidR="005404EA" w:rsidRPr="00AA34BE" w14:paraId="6BE2610F" w14:textId="77777777" w:rsidTr="00FF11E8">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3CE14092"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Март</w:t>
            </w:r>
          </w:p>
        </w:tc>
        <w:tc>
          <w:tcPr>
            <w:tcW w:w="2124" w:type="dxa"/>
            <w:tcBorders>
              <w:top w:val="nil"/>
              <w:left w:val="single" w:sz="4" w:space="0" w:color="auto"/>
              <w:bottom w:val="single" w:sz="4" w:space="0" w:color="auto"/>
              <w:right w:val="single" w:sz="4" w:space="0" w:color="auto"/>
            </w:tcBorders>
            <w:shd w:val="clear" w:color="auto" w:fill="auto"/>
            <w:noWrap/>
            <w:hideMark/>
          </w:tcPr>
          <w:p w14:paraId="2876F509" w14:textId="781488A9" w:rsidR="005404EA" w:rsidRPr="00AA34BE" w:rsidRDefault="005404EA" w:rsidP="005404EA">
            <w:pPr>
              <w:ind w:left="709"/>
              <w:jc w:val="right"/>
              <w:rPr>
                <w:rFonts w:cs="Arial"/>
                <w:color w:val="000000" w:themeColor="text1"/>
                <w:sz w:val="18"/>
                <w:szCs w:val="18"/>
              </w:rPr>
            </w:pPr>
            <w:r w:rsidRPr="00191F77">
              <w:rPr>
                <w:rFonts w:cs="Arial"/>
                <w:color w:val="000000" w:themeColor="text1"/>
                <w:sz w:val="20"/>
                <w:szCs w:val="20"/>
                <w:lang w:val="en-US"/>
              </w:rPr>
              <w:t>xx xxx</w:t>
            </w:r>
          </w:p>
        </w:tc>
        <w:tc>
          <w:tcPr>
            <w:tcW w:w="2126" w:type="dxa"/>
            <w:tcBorders>
              <w:top w:val="nil"/>
              <w:left w:val="nil"/>
              <w:bottom w:val="single" w:sz="4" w:space="0" w:color="auto"/>
              <w:right w:val="single" w:sz="8" w:space="0" w:color="auto"/>
            </w:tcBorders>
            <w:shd w:val="clear" w:color="auto" w:fill="auto"/>
            <w:noWrap/>
            <w:hideMark/>
          </w:tcPr>
          <w:p w14:paraId="76A3257F" w14:textId="4F721DFD" w:rsidR="005404EA" w:rsidRPr="00AA34BE" w:rsidRDefault="005404EA" w:rsidP="005404EA">
            <w:pPr>
              <w:ind w:left="709"/>
              <w:jc w:val="right"/>
              <w:rPr>
                <w:rFonts w:cs="Arial"/>
                <w:color w:val="000000" w:themeColor="text1"/>
                <w:sz w:val="18"/>
                <w:szCs w:val="18"/>
              </w:rPr>
            </w:pPr>
            <w:r w:rsidRPr="00191F77">
              <w:rPr>
                <w:rFonts w:cs="Arial"/>
                <w:color w:val="000000" w:themeColor="text1"/>
                <w:sz w:val="20"/>
                <w:szCs w:val="20"/>
                <w:lang w:val="en-US"/>
              </w:rPr>
              <w:t>xx xxx</w:t>
            </w:r>
          </w:p>
        </w:tc>
      </w:tr>
      <w:tr w:rsidR="001E5331" w:rsidRPr="00AA34BE" w14:paraId="5F6D8643" w14:textId="77777777" w:rsidTr="005F3389">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6B27A40" w14:textId="77777777" w:rsidR="001E5331" w:rsidRPr="00AA34BE" w:rsidRDefault="001E5331" w:rsidP="001E5331">
            <w:pPr>
              <w:ind w:left="709"/>
              <w:rPr>
                <w:rFonts w:cs="Arial"/>
                <w:color w:val="000000" w:themeColor="text1"/>
                <w:sz w:val="18"/>
                <w:szCs w:val="18"/>
              </w:rPr>
            </w:pPr>
            <w:r w:rsidRPr="00AA34BE">
              <w:rPr>
                <w:rFonts w:cs="Arial"/>
                <w:color w:val="000000" w:themeColor="text1"/>
                <w:sz w:val="18"/>
                <w:szCs w:val="18"/>
              </w:rPr>
              <w:t>Април</w:t>
            </w:r>
          </w:p>
        </w:tc>
        <w:tc>
          <w:tcPr>
            <w:tcW w:w="2124" w:type="dxa"/>
            <w:tcBorders>
              <w:top w:val="nil"/>
              <w:left w:val="single" w:sz="4" w:space="0" w:color="auto"/>
              <w:bottom w:val="single" w:sz="4" w:space="0" w:color="auto"/>
              <w:right w:val="single" w:sz="4" w:space="0" w:color="auto"/>
            </w:tcBorders>
            <w:shd w:val="clear" w:color="auto" w:fill="auto"/>
            <w:noWrap/>
            <w:hideMark/>
          </w:tcPr>
          <w:p w14:paraId="6808E88D" w14:textId="40BF4EC4" w:rsidR="001E5331" w:rsidRPr="00AA34BE" w:rsidRDefault="001E5331" w:rsidP="001E5331">
            <w:pPr>
              <w:ind w:left="709"/>
              <w:jc w:val="right"/>
              <w:rPr>
                <w:rFonts w:cs="Arial"/>
                <w:color w:val="000000" w:themeColor="text1"/>
                <w:sz w:val="18"/>
                <w:szCs w:val="18"/>
              </w:rPr>
            </w:pPr>
            <w:r w:rsidRPr="00884EDD">
              <w:rPr>
                <w:rFonts w:cs="Arial"/>
                <w:color w:val="000000" w:themeColor="text1"/>
                <w:sz w:val="20"/>
                <w:szCs w:val="20"/>
                <w:lang w:val="en-US"/>
              </w:rPr>
              <w:t>xx xxx</w:t>
            </w:r>
          </w:p>
        </w:tc>
        <w:tc>
          <w:tcPr>
            <w:tcW w:w="2126" w:type="dxa"/>
            <w:tcBorders>
              <w:top w:val="nil"/>
              <w:left w:val="nil"/>
              <w:bottom w:val="single" w:sz="4" w:space="0" w:color="auto"/>
              <w:right w:val="single" w:sz="8" w:space="0" w:color="auto"/>
            </w:tcBorders>
            <w:shd w:val="clear" w:color="auto" w:fill="auto"/>
            <w:noWrap/>
            <w:hideMark/>
          </w:tcPr>
          <w:p w14:paraId="38CE5A5D" w14:textId="634921BF" w:rsidR="001E5331" w:rsidRPr="00AA34BE" w:rsidRDefault="001E5331" w:rsidP="001E5331">
            <w:pPr>
              <w:ind w:left="709"/>
              <w:jc w:val="right"/>
              <w:rPr>
                <w:rFonts w:cs="Arial"/>
                <w:color w:val="000000" w:themeColor="text1"/>
                <w:sz w:val="18"/>
                <w:szCs w:val="18"/>
              </w:rPr>
            </w:pPr>
            <w:r w:rsidRPr="00CA053E">
              <w:rPr>
                <w:rFonts w:cs="Arial"/>
                <w:color w:val="000000" w:themeColor="text1"/>
                <w:sz w:val="20"/>
                <w:szCs w:val="20"/>
                <w:lang w:val="en-US"/>
              </w:rPr>
              <w:t>x xxx</w:t>
            </w:r>
          </w:p>
        </w:tc>
      </w:tr>
      <w:tr w:rsidR="001E5331" w:rsidRPr="00AA34BE" w14:paraId="06AB12B9" w14:textId="77777777" w:rsidTr="005F3389">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07C4A870" w14:textId="77777777" w:rsidR="001E5331" w:rsidRPr="00AA34BE" w:rsidRDefault="001E5331" w:rsidP="001E5331">
            <w:pPr>
              <w:ind w:left="709"/>
              <w:rPr>
                <w:rFonts w:cs="Arial"/>
                <w:color w:val="000000" w:themeColor="text1"/>
                <w:sz w:val="18"/>
                <w:szCs w:val="18"/>
              </w:rPr>
            </w:pPr>
            <w:r w:rsidRPr="00AA34BE">
              <w:rPr>
                <w:rFonts w:cs="Arial"/>
                <w:color w:val="000000" w:themeColor="text1"/>
                <w:sz w:val="18"/>
                <w:szCs w:val="18"/>
              </w:rPr>
              <w:t>Май</w:t>
            </w:r>
          </w:p>
        </w:tc>
        <w:tc>
          <w:tcPr>
            <w:tcW w:w="2124" w:type="dxa"/>
            <w:tcBorders>
              <w:top w:val="nil"/>
              <w:left w:val="single" w:sz="4" w:space="0" w:color="auto"/>
              <w:bottom w:val="single" w:sz="4" w:space="0" w:color="auto"/>
              <w:right w:val="single" w:sz="4" w:space="0" w:color="auto"/>
            </w:tcBorders>
            <w:shd w:val="clear" w:color="auto" w:fill="auto"/>
            <w:noWrap/>
            <w:hideMark/>
          </w:tcPr>
          <w:p w14:paraId="1E7E79FA" w14:textId="03ADDEC6" w:rsidR="001E5331" w:rsidRPr="00AA34BE" w:rsidRDefault="001E5331" w:rsidP="001E5331">
            <w:pPr>
              <w:ind w:left="709"/>
              <w:jc w:val="right"/>
              <w:rPr>
                <w:rFonts w:cs="Arial"/>
                <w:color w:val="000000" w:themeColor="text1"/>
                <w:sz w:val="18"/>
                <w:szCs w:val="18"/>
              </w:rPr>
            </w:pPr>
            <w:r w:rsidRPr="00884EDD">
              <w:rPr>
                <w:rFonts w:cs="Arial"/>
                <w:color w:val="000000" w:themeColor="text1"/>
                <w:sz w:val="20"/>
                <w:szCs w:val="20"/>
                <w:lang w:val="en-US"/>
              </w:rPr>
              <w:t>xx xxx</w:t>
            </w:r>
          </w:p>
        </w:tc>
        <w:tc>
          <w:tcPr>
            <w:tcW w:w="2126" w:type="dxa"/>
            <w:tcBorders>
              <w:top w:val="nil"/>
              <w:left w:val="nil"/>
              <w:bottom w:val="single" w:sz="4" w:space="0" w:color="auto"/>
              <w:right w:val="single" w:sz="8" w:space="0" w:color="auto"/>
            </w:tcBorders>
            <w:shd w:val="clear" w:color="auto" w:fill="auto"/>
            <w:noWrap/>
            <w:hideMark/>
          </w:tcPr>
          <w:p w14:paraId="751A2284" w14:textId="374542CC" w:rsidR="001E5331" w:rsidRPr="00AA34BE" w:rsidRDefault="001E5331" w:rsidP="001E5331">
            <w:pPr>
              <w:ind w:left="709"/>
              <w:jc w:val="right"/>
              <w:rPr>
                <w:rFonts w:cs="Arial"/>
                <w:color w:val="000000" w:themeColor="text1"/>
                <w:sz w:val="18"/>
                <w:szCs w:val="18"/>
              </w:rPr>
            </w:pPr>
            <w:r w:rsidRPr="00CA053E">
              <w:rPr>
                <w:rFonts w:cs="Arial"/>
                <w:color w:val="000000" w:themeColor="text1"/>
                <w:sz w:val="20"/>
                <w:szCs w:val="20"/>
                <w:lang w:val="en-US"/>
              </w:rPr>
              <w:t>x xxx</w:t>
            </w:r>
          </w:p>
        </w:tc>
      </w:tr>
      <w:tr w:rsidR="001E5331" w:rsidRPr="00AA34BE" w14:paraId="33A84B9F" w14:textId="77777777" w:rsidTr="005F3389">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BFA04EB" w14:textId="77777777" w:rsidR="001E5331" w:rsidRPr="00AA34BE" w:rsidRDefault="001E5331" w:rsidP="001E5331">
            <w:pPr>
              <w:ind w:left="709"/>
              <w:rPr>
                <w:rFonts w:cs="Arial"/>
                <w:color w:val="000000" w:themeColor="text1"/>
                <w:sz w:val="18"/>
                <w:szCs w:val="18"/>
              </w:rPr>
            </w:pPr>
            <w:r w:rsidRPr="00AA34BE">
              <w:rPr>
                <w:rFonts w:cs="Arial"/>
                <w:color w:val="000000" w:themeColor="text1"/>
                <w:sz w:val="18"/>
                <w:szCs w:val="18"/>
              </w:rPr>
              <w:t>Юни</w:t>
            </w:r>
          </w:p>
        </w:tc>
        <w:tc>
          <w:tcPr>
            <w:tcW w:w="2124" w:type="dxa"/>
            <w:tcBorders>
              <w:top w:val="nil"/>
              <w:left w:val="single" w:sz="4" w:space="0" w:color="auto"/>
              <w:bottom w:val="single" w:sz="4" w:space="0" w:color="auto"/>
              <w:right w:val="single" w:sz="4" w:space="0" w:color="auto"/>
            </w:tcBorders>
            <w:shd w:val="clear" w:color="auto" w:fill="auto"/>
            <w:noWrap/>
            <w:vAlign w:val="bottom"/>
            <w:hideMark/>
          </w:tcPr>
          <w:p w14:paraId="719B90AC" w14:textId="4E164828" w:rsidR="001E5331" w:rsidRPr="001E5331" w:rsidRDefault="001E5331" w:rsidP="001E5331">
            <w:pPr>
              <w:ind w:left="709"/>
              <w:jc w:val="right"/>
              <w:rPr>
                <w:rFonts w:cs="Arial"/>
                <w:color w:val="000000" w:themeColor="text1"/>
                <w:sz w:val="20"/>
                <w:szCs w:val="20"/>
                <w:lang w:val="en-US"/>
              </w:rPr>
            </w:pPr>
            <w:r w:rsidRPr="001E5331">
              <w:rPr>
                <w:rFonts w:cs="Arial"/>
                <w:color w:val="000000" w:themeColor="text1"/>
                <w:sz w:val="20"/>
                <w:szCs w:val="20"/>
                <w:lang w:val="en-US"/>
              </w:rPr>
              <w:t>x xxx</w:t>
            </w:r>
          </w:p>
        </w:tc>
        <w:tc>
          <w:tcPr>
            <w:tcW w:w="2126" w:type="dxa"/>
            <w:tcBorders>
              <w:top w:val="nil"/>
              <w:left w:val="nil"/>
              <w:bottom w:val="single" w:sz="4" w:space="0" w:color="auto"/>
              <w:right w:val="single" w:sz="8" w:space="0" w:color="auto"/>
            </w:tcBorders>
            <w:shd w:val="clear" w:color="auto" w:fill="auto"/>
            <w:noWrap/>
            <w:hideMark/>
          </w:tcPr>
          <w:p w14:paraId="780A0680" w14:textId="2E44EBDC" w:rsidR="001E5331" w:rsidRPr="00AA34BE" w:rsidRDefault="001E5331" w:rsidP="001E5331">
            <w:pPr>
              <w:ind w:left="709"/>
              <w:jc w:val="right"/>
              <w:rPr>
                <w:rFonts w:cs="Arial"/>
                <w:color w:val="000000" w:themeColor="text1"/>
                <w:sz w:val="18"/>
                <w:szCs w:val="18"/>
              </w:rPr>
            </w:pPr>
            <w:r w:rsidRPr="00CA053E">
              <w:rPr>
                <w:rFonts w:cs="Arial"/>
                <w:color w:val="000000" w:themeColor="text1"/>
                <w:sz w:val="20"/>
                <w:szCs w:val="20"/>
                <w:lang w:val="en-US"/>
              </w:rPr>
              <w:t>x xxx</w:t>
            </w:r>
          </w:p>
        </w:tc>
      </w:tr>
      <w:tr w:rsidR="001E5331" w:rsidRPr="00AA34BE" w14:paraId="76A0E9B8" w14:textId="77777777" w:rsidTr="006B053F">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5A69D49F" w14:textId="77777777" w:rsidR="001E5331" w:rsidRPr="00AA34BE" w:rsidRDefault="001E5331" w:rsidP="001E5331">
            <w:pPr>
              <w:ind w:left="709"/>
              <w:rPr>
                <w:rFonts w:cs="Arial"/>
                <w:color w:val="000000" w:themeColor="text1"/>
                <w:sz w:val="18"/>
                <w:szCs w:val="18"/>
              </w:rPr>
            </w:pPr>
            <w:r w:rsidRPr="00AA34BE">
              <w:rPr>
                <w:rFonts w:cs="Arial"/>
                <w:color w:val="000000" w:themeColor="text1"/>
                <w:sz w:val="18"/>
                <w:szCs w:val="18"/>
              </w:rPr>
              <w:t>Юли</w:t>
            </w:r>
          </w:p>
        </w:tc>
        <w:tc>
          <w:tcPr>
            <w:tcW w:w="2124" w:type="dxa"/>
            <w:tcBorders>
              <w:top w:val="nil"/>
              <w:left w:val="single" w:sz="4" w:space="0" w:color="auto"/>
              <w:bottom w:val="single" w:sz="4" w:space="0" w:color="auto"/>
              <w:right w:val="single" w:sz="4" w:space="0" w:color="auto"/>
            </w:tcBorders>
            <w:shd w:val="clear" w:color="auto" w:fill="auto"/>
            <w:noWrap/>
            <w:hideMark/>
          </w:tcPr>
          <w:p w14:paraId="290ECB01" w14:textId="32654277" w:rsidR="001E5331" w:rsidRPr="00AA34BE" w:rsidRDefault="001E5331" w:rsidP="001E5331">
            <w:pPr>
              <w:ind w:left="709"/>
              <w:jc w:val="right"/>
              <w:rPr>
                <w:rFonts w:cs="Arial"/>
                <w:color w:val="000000" w:themeColor="text1"/>
                <w:sz w:val="18"/>
                <w:szCs w:val="18"/>
              </w:rPr>
            </w:pPr>
            <w:r w:rsidRPr="00885C68">
              <w:rPr>
                <w:rFonts w:cs="Arial"/>
                <w:color w:val="000000" w:themeColor="text1"/>
                <w:sz w:val="20"/>
                <w:szCs w:val="20"/>
                <w:lang w:val="en-US"/>
              </w:rPr>
              <w:t>x xxx</w:t>
            </w:r>
          </w:p>
        </w:tc>
        <w:tc>
          <w:tcPr>
            <w:tcW w:w="2126" w:type="dxa"/>
            <w:tcBorders>
              <w:top w:val="nil"/>
              <w:left w:val="nil"/>
              <w:bottom w:val="single" w:sz="4" w:space="0" w:color="auto"/>
              <w:right w:val="single" w:sz="8" w:space="0" w:color="auto"/>
            </w:tcBorders>
            <w:shd w:val="clear" w:color="auto" w:fill="auto"/>
            <w:noWrap/>
            <w:hideMark/>
          </w:tcPr>
          <w:p w14:paraId="378EA6C7" w14:textId="508210C1" w:rsidR="001E5331" w:rsidRPr="00AA34BE" w:rsidRDefault="001E5331" w:rsidP="001E5331">
            <w:pPr>
              <w:ind w:left="709"/>
              <w:jc w:val="right"/>
              <w:rPr>
                <w:rFonts w:cs="Arial"/>
                <w:color w:val="000000" w:themeColor="text1"/>
                <w:sz w:val="18"/>
                <w:szCs w:val="18"/>
              </w:rPr>
            </w:pPr>
            <w:r w:rsidRPr="00CA053E">
              <w:rPr>
                <w:rFonts w:cs="Arial"/>
                <w:color w:val="000000" w:themeColor="text1"/>
                <w:sz w:val="20"/>
                <w:szCs w:val="20"/>
                <w:lang w:val="en-US"/>
              </w:rPr>
              <w:t>x xxx</w:t>
            </w:r>
          </w:p>
        </w:tc>
      </w:tr>
      <w:tr w:rsidR="001E5331" w:rsidRPr="00AA34BE" w14:paraId="06525E8A" w14:textId="77777777" w:rsidTr="006B053F">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6333859" w14:textId="77777777" w:rsidR="001E5331" w:rsidRPr="00AA34BE" w:rsidRDefault="001E5331" w:rsidP="001E5331">
            <w:pPr>
              <w:ind w:left="709"/>
              <w:rPr>
                <w:rFonts w:cs="Arial"/>
                <w:color w:val="000000" w:themeColor="text1"/>
                <w:sz w:val="18"/>
                <w:szCs w:val="18"/>
              </w:rPr>
            </w:pPr>
            <w:r w:rsidRPr="00AA34BE">
              <w:rPr>
                <w:rFonts w:cs="Arial"/>
                <w:color w:val="000000" w:themeColor="text1"/>
                <w:sz w:val="18"/>
                <w:szCs w:val="18"/>
              </w:rPr>
              <w:t>Август</w:t>
            </w:r>
          </w:p>
        </w:tc>
        <w:tc>
          <w:tcPr>
            <w:tcW w:w="2124" w:type="dxa"/>
            <w:tcBorders>
              <w:top w:val="nil"/>
              <w:left w:val="single" w:sz="4" w:space="0" w:color="auto"/>
              <w:bottom w:val="single" w:sz="4" w:space="0" w:color="auto"/>
              <w:right w:val="single" w:sz="4" w:space="0" w:color="auto"/>
            </w:tcBorders>
            <w:shd w:val="clear" w:color="auto" w:fill="auto"/>
            <w:noWrap/>
            <w:hideMark/>
          </w:tcPr>
          <w:p w14:paraId="46057597" w14:textId="11284EB8" w:rsidR="001E5331" w:rsidRPr="00AA34BE" w:rsidRDefault="001E5331" w:rsidP="001E5331">
            <w:pPr>
              <w:ind w:left="709"/>
              <w:jc w:val="right"/>
              <w:rPr>
                <w:rFonts w:cs="Arial"/>
                <w:color w:val="000000" w:themeColor="text1"/>
                <w:sz w:val="18"/>
                <w:szCs w:val="18"/>
              </w:rPr>
            </w:pPr>
            <w:r w:rsidRPr="00885C68">
              <w:rPr>
                <w:rFonts w:cs="Arial"/>
                <w:color w:val="000000" w:themeColor="text1"/>
                <w:sz w:val="20"/>
                <w:szCs w:val="20"/>
                <w:lang w:val="en-US"/>
              </w:rPr>
              <w:t>x xxx</w:t>
            </w:r>
          </w:p>
        </w:tc>
        <w:tc>
          <w:tcPr>
            <w:tcW w:w="2126" w:type="dxa"/>
            <w:tcBorders>
              <w:top w:val="nil"/>
              <w:left w:val="nil"/>
              <w:bottom w:val="single" w:sz="4" w:space="0" w:color="auto"/>
              <w:right w:val="single" w:sz="8" w:space="0" w:color="auto"/>
            </w:tcBorders>
            <w:shd w:val="clear" w:color="auto" w:fill="auto"/>
            <w:noWrap/>
            <w:hideMark/>
          </w:tcPr>
          <w:p w14:paraId="5A7CF1BA" w14:textId="5B36A488" w:rsidR="001E5331" w:rsidRPr="00AA34BE" w:rsidRDefault="001E5331" w:rsidP="001E5331">
            <w:pPr>
              <w:ind w:left="709"/>
              <w:jc w:val="right"/>
              <w:rPr>
                <w:rFonts w:cs="Arial"/>
                <w:color w:val="000000" w:themeColor="text1"/>
                <w:sz w:val="18"/>
                <w:szCs w:val="18"/>
              </w:rPr>
            </w:pPr>
            <w:r w:rsidRPr="00CA053E">
              <w:rPr>
                <w:rFonts w:cs="Arial"/>
                <w:color w:val="000000" w:themeColor="text1"/>
                <w:sz w:val="20"/>
                <w:szCs w:val="20"/>
                <w:lang w:val="en-US"/>
              </w:rPr>
              <w:t>x xxx</w:t>
            </w:r>
          </w:p>
        </w:tc>
      </w:tr>
      <w:tr w:rsidR="001E5331" w:rsidRPr="00AA34BE" w14:paraId="13C2EE3D" w14:textId="77777777" w:rsidTr="006B053F">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2101922D" w14:textId="77777777" w:rsidR="001E5331" w:rsidRPr="00AA34BE" w:rsidRDefault="001E5331" w:rsidP="001E5331">
            <w:pPr>
              <w:ind w:left="709"/>
              <w:rPr>
                <w:rFonts w:cs="Arial"/>
                <w:color w:val="000000" w:themeColor="text1"/>
                <w:sz w:val="18"/>
                <w:szCs w:val="18"/>
              </w:rPr>
            </w:pPr>
            <w:r w:rsidRPr="00AA34BE">
              <w:rPr>
                <w:rFonts w:cs="Arial"/>
                <w:color w:val="000000" w:themeColor="text1"/>
                <w:sz w:val="18"/>
                <w:szCs w:val="18"/>
              </w:rPr>
              <w:t>Септември</w:t>
            </w:r>
          </w:p>
        </w:tc>
        <w:tc>
          <w:tcPr>
            <w:tcW w:w="2124" w:type="dxa"/>
            <w:tcBorders>
              <w:top w:val="nil"/>
              <w:left w:val="single" w:sz="4" w:space="0" w:color="auto"/>
              <w:bottom w:val="single" w:sz="4" w:space="0" w:color="auto"/>
              <w:right w:val="single" w:sz="4" w:space="0" w:color="auto"/>
            </w:tcBorders>
            <w:shd w:val="clear" w:color="auto" w:fill="auto"/>
            <w:noWrap/>
            <w:hideMark/>
          </w:tcPr>
          <w:p w14:paraId="54518B1C" w14:textId="6028BE26" w:rsidR="001E5331" w:rsidRPr="00AA34BE" w:rsidRDefault="001E5331" w:rsidP="001E5331">
            <w:pPr>
              <w:ind w:left="709"/>
              <w:jc w:val="right"/>
              <w:rPr>
                <w:rFonts w:cs="Arial"/>
                <w:color w:val="000000" w:themeColor="text1"/>
                <w:sz w:val="18"/>
                <w:szCs w:val="18"/>
              </w:rPr>
            </w:pPr>
            <w:r w:rsidRPr="00885C68">
              <w:rPr>
                <w:rFonts w:cs="Arial"/>
                <w:color w:val="000000" w:themeColor="text1"/>
                <w:sz w:val="20"/>
                <w:szCs w:val="20"/>
                <w:lang w:val="en-US"/>
              </w:rPr>
              <w:t>x xxx</w:t>
            </w:r>
          </w:p>
        </w:tc>
        <w:tc>
          <w:tcPr>
            <w:tcW w:w="2126" w:type="dxa"/>
            <w:tcBorders>
              <w:top w:val="nil"/>
              <w:left w:val="nil"/>
              <w:bottom w:val="single" w:sz="4" w:space="0" w:color="auto"/>
              <w:right w:val="single" w:sz="8" w:space="0" w:color="auto"/>
            </w:tcBorders>
            <w:shd w:val="clear" w:color="auto" w:fill="auto"/>
            <w:noWrap/>
            <w:hideMark/>
          </w:tcPr>
          <w:p w14:paraId="575284F1" w14:textId="385259A0" w:rsidR="001E5331" w:rsidRPr="00AA34BE" w:rsidRDefault="001E5331" w:rsidP="001E5331">
            <w:pPr>
              <w:ind w:left="709"/>
              <w:jc w:val="right"/>
              <w:rPr>
                <w:rFonts w:cs="Arial"/>
                <w:color w:val="000000" w:themeColor="text1"/>
                <w:sz w:val="18"/>
                <w:szCs w:val="18"/>
              </w:rPr>
            </w:pPr>
            <w:r w:rsidRPr="00CA053E">
              <w:rPr>
                <w:rFonts w:cs="Arial"/>
                <w:color w:val="000000" w:themeColor="text1"/>
                <w:sz w:val="20"/>
                <w:szCs w:val="20"/>
                <w:lang w:val="en-US"/>
              </w:rPr>
              <w:t>x xxx</w:t>
            </w:r>
          </w:p>
        </w:tc>
      </w:tr>
      <w:tr w:rsidR="001E5331" w:rsidRPr="00AA34BE" w14:paraId="298BAF5D" w14:textId="77777777" w:rsidTr="005F3389">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383A6816" w14:textId="77777777" w:rsidR="001E5331" w:rsidRPr="00AA34BE" w:rsidRDefault="001E5331" w:rsidP="001E5331">
            <w:pPr>
              <w:ind w:left="709"/>
              <w:rPr>
                <w:rFonts w:cs="Arial"/>
                <w:color w:val="000000" w:themeColor="text1"/>
                <w:sz w:val="18"/>
                <w:szCs w:val="18"/>
              </w:rPr>
            </w:pPr>
            <w:r w:rsidRPr="00AA34BE">
              <w:rPr>
                <w:rFonts w:cs="Arial"/>
                <w:color w:val="000000" w:themeColor="text1"/>
                <w:sz w:val="18"/>
                <w:szCs w:val="18"/>
              </w:rPr>
              <w:t>Октомври</w:t>
            </w:r>
          </w:p>
        </w:tc>
        <w:tc>
          <w:tcPr>
            <w:tcW w:w="2124" w:type="dxa"/>
            <w:tcBorders>
              <w:top w:val="nil"/>
              <w:left w:val="single" w:sz="4" w:space="0" w:color="auto"/>
              <w:bottom w:val="single" w:sz="4" w:space="0" w:color="auto"/>
              <w:right w:val="single" w:sz="4" w:space="0" w:color="auto"/>
            </w:tcBorders>
            <w:shd w:val="clear" w:color="auto" w:fill="auto"/>
            <w:noWrap/>
            <w:hideMark/>
          </w:tcPr>
          <w:p w14:paraId="33B7EA3C" w14:textId="12DB2AAB" w:rsidR="001E5331" w:rsidRPr="00AA34BE" w:rsidRDefault="001E5331" w:rsidP="001E5331">
            <w:pPr>
              <w:ind w:left="709"/>
              <w:jc w:val="right"/>
              <w:rPr>
                <w:rFonts w:cs="Arial"/>
                <w:color w:val="000000" w:themeColor="text1"/>
                <w:sz w:val="18"/>
                <w:szCs w:val="18"/>
              </w:rPr>
            </w:pPr>
            <w:r w:rsidRPr="00D0629E">
              <w:rPr>
                <w:rFonts w:cs="Arial"/>
                <w:color w:val="000000" w:themeColor="text1"/>
                <w:sz w:val="20"/>
                <w:szCs w:val="20"/>
                <w:lang w:val="en-US"/>
              </w:rPr>
              <w:t>xx xxx</w:t>
            </w:r>
          </w:p>
        </w:tc>
        <w:tc>
          <w:tcPr>
            <w:tcW w:w="2126" w:type="dxa"/>
            <w:tcBorders>
              <w:top w:val="nil"/>
              <w:left w:val="nil"/>
              <w:bottom w:val="single" w:sz="4" w:space="0" w:color="auto"/>
              <w:right w:val="single" w:sz="8" w:space="0" w:color="auto"/>
            </w:tcBorders>
            <w:shd w:val="clear" w:color="auto" w:fill="auto"/>
            <w:noWrap/>
            <w:hideMark/>
          </w:tcPr>
          <w:p w14:paraId="31A1DC42" w14:textId="59052BA0" w:rsidR="001E5331" w:rsidRPr="00AA34BE" w:rsidRDefault="001E5331" w:rsidP="001E5331">
            <w:pPr>
              <w:ind w:left="709"/>
              <w:jc w:val="right"/>
              <w:rPr>
                <w:rFonts w:cs="Arial"/>
                <w:color w:val="000000" w:themeColor="text1"/>
                <w:sz w:val="18"/>
                <w:szCs w:val="18"/>
              </w:rPr>
            </w:pPr>
            <w:r w:rsidRPr="00CA053E">
              <w:rPr>
                <w:rFonts w:cs="Arial"/>
                <w:color w:val="000000" w:themeColor="text1"/>
                <w:sz w:val="20"/>
                <w:szCs w:val="20"/>
                <w:lang w:val="en-US"/>
              </w:rPr>
              <w:t>x xxx</w:t>
            </w:r>
          </w:p>
        </w:tc>
      </w:tr>
      <w:tr w:rsidR="005404EA" w:rsidRPr="00AA34BE" w14:paraId="61CE2A80" w14:textId="77777777" w:rsidTr="00D70EEE">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ED33F06"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Ноември</w:t>
            </w:r>
          </w:p>
        </w:tc>
        <w:tc>
          <w:tcPr>
            <w:tcW w:w="2124" w:type="dxa"/>
            <w:tcBorders>
              <w:top w:val="nil"/>
              <w:left w:val="single" w:sz="4" w:space="0" w:color="auto"/>
              <w:bottom w:val="single" w:sz="4" w:space="0" w:color="auto"/>
              <w:right w:val="single" w:sz="4" w:space="0" w:color="auto"/>
            </w:tcBorders>
            <w:shd w:val="clear" w:color="auto" w:fill="auto"/>
            <w:noWrap/>
            <w:hideMark/>
          </w:tcPr>
          <w:p w14:paraId="3925CAE2" w14:textId="1BFECEAB" w:rsidR="005404EA" w:rsidRPr="00AA34BE" w:rsidRDefault="005404EA" w:rsidP="005404EA">
            <w:pPr>
              <w:ind w:left="709"/>
              <w:jc w:val="right"/>
              <w:rPr>
                <w:rFonts w:cs="Arial"/>
                <w:color w:val="000000" w:themeColor="text1"/>
                <w:sz w:val="18"/>
                <w:szCs w:val="18"/>
              </w:rPr>
            </w:pPr>
            <w:r w:rsidRPr="00D0629E">
              <w:rPr>
                <w:rFonts w:cs="Arial"/>
                <w:color w:val="000000" w:themeColor="text1"/>
                <w:sz w:val="20"/>
                <w:szCs w:val="20"/>
                <w:lang w:val="en-US"/>
              </w:rPr>
              <w:t>xx xxx</w:t>
            </w:r>
          </w:p>
        </w:tc>
        <w:tc>
          <w:tcPr>
            <w:tcW w:w="2126" w:type="dxa"/>
            <w:tcBorders>
              <w:top w:val="nil"/>
              <w:left w:val="nil"/>
              <w:bottom w:val="single" w:sz="4" w:space="0" w:color="auto"/>
              <w:right w:val="single" w:sz="8" w:space="0" w:color="auto"/>
            </w:tcBorders>
            <w:shd w:val="clear" w:color="auto" w:fill="auto"/>
            <w:noWrap/>
            <w:hideMark/>
          </w:tcPr>
          <w:p w14:paraId="79E503C2" w14:textId="3386401C" w:rsidR="005404EA" w:rsidRPr="00AA34BE" w:rsidRDefault="005404EA" w:rsidP="005404EA">
            <w:pPr>
              <w:ind w:left="709"/>
              <w:jc w:val="right"/>
              <w:rPr>
                <w:rFonts w:cs="Arial"/>
                <w:color w:val="000000" w:themeColor="text1"/>
                <w:sz w:val="18"/>
                <w:szCs w:val="18"/>
              </w:rPr>
            </w:pPr>
            <w:r w:rsidRPr="0034760C">
              <w:rPr>
                <w:rFonts w:cs="Arial"/>
                <w:color w:val="000000" w:themeColor="text1"/>
                <w:sz w:val="20"/>
                <w:szCs w:val="20"/>
                <w:lang w:val="en-US"/>
              </w:rPr>
              <w:t>xx xxx</w:t>
            </w:r>
          </w:p>
        </w:tc>
      </w:tr>
      <w:tr w:rsidR="005404EA" w:rsidRPr="00AA34BE" w14:paraId="18AB3938" w14:textId="77777777" w:rsidTr="00D70EEE">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3D41689C" w14:textId="77777777" w:rsidR="005404EA" w:rsidRPr="00AA34BE" w:rsidRDefault="005404EA" w:rsidP="005404EA">
            <w:pPr>
              <w:ind w:left="709"/>
              <w:rPr>
                <w:rFonts w:cs="Arial"/>
                <w:color w:val="000000" w:themeColor="text1"/>
                <w:sz w:val="18"/>
                <w:szCs w:val="18"/>
              </w:rPr>
            </w:pPr>
            <w:r w:rsidRPr="00AA34BE">
              <w:rPr>
                <w:rFonts w:cs="Arial"/>
                <w:color w:val="000000" w:themeColor="text1"/>
                <w:sz w:val="18"/>
                <w:szCs w:val="18"/>
              </w:rPr>
              <w:t>Декември</w:t>
            </w:r>
          </w:p>
        </w:tc>
        <w:tc>
          <w:tcPr>
            <w:tcW w:w="2124" w:type="dxa"/>
            <w:tcBorders>
              <w:top w:val="nil"/>
              <w:left w:val="single" w:sz="4" w:space="0" w:color="auto"/>
              <w:bottom w:val="single" w:sz="8" w:space="0" w:color="auto"/>
              <w:right w:val="single" w:sz="4" w:space="0" w:color="auto"/>
            </w:tcBorders>
            <w:shd w:val="clear" w:color="auto" w:fill="auto"/>
            <w:noWrap/>
            <w:hideMark/>
          </w:tcPr>
          <w:p w14:paraId="11570908" w14:textId="75BB0AE7" w:rsidR="005404EA" w:rsidRPr="00AA34BE" w:rsidRDefault="005404EA" w:rsidP="005404EA">
            <w:pPr>
              <w:ind w:left="709"/>
              <w:jc w:val="right"/>
              <w:rPr>
                <w:rFonts w:cs="Arial"/>
                <w:color w:val="000000" w:themeColor="text1"/>
                <w:sz w:val="18"/>
                <w:szCs w:val="18"/>
              </w:rPr>
            </w:pPr>
            <w:r w:rsidRPr="00D0629E">
              <w:rPr>
                <w:rFonts w:cs="Arial"/>
                <w:color w:val="000000" w:themeColor="text1"/>
                <w:sz w:val="20"/>
                <w:szCs w:val="20"/>
                <w:lang w:val="en-US"/>
              </w:rPr>
              <w:t>xx xxx</w:t>
            </w:r>
          </w:p>
        </w:tc>
        <w:tc>
          <w:tcPr>
            <w:tcW w:w="2126" w:type="dxa"/>
            <w:tcBorders>
              <w:top w:val="nil"/>
              <w:left w:val="nil"/>
              <w:bottom w:val="single" w:sz="8" w:space="0" w:color="auto"/>
              <w:right w:val="single" w:sz="8" w:space="0" w:color="auto"/>
            </w:tcBorders>
            <w:shd w:val="clear" w:color="auto" w:fill="auto"/>
            <w:noWrap/>
            <w:hideMark/>
          </w:tcPr>
          <w:p w14:paraId="53024202" w14:textId="454DD333" w:rsidR="005404EA" w:rsidRPr="00AA34BE" w:rsidRDefault="005404EA" w:rsidP="005404EA">
            <w:pPr>
              <w:ind w:left="709"/>
              <w:jc w:val="right"/>
              <w:rPr>
                <w:rFonts w:cs="Arial"/>
                <w:color w:val="000000" w:themeColor="text1"/>
                <w:sz w:val="18"/>
                <w:szCs w:val="18"/>
              </w:rPr>
            </w:pPr>
            <w:r w:rsidRPr="0034760C">
              <w:rPr>
                <w:rFonts w:cs="Arial"/>
                <w:color w:val="000000" w:themeColor="text1"/>
                <w:sz w:val="20"/>
                <w:szCs w:val="20"/>
                <w:lang w:val="en-US"/>
              </w:rPr>
              <w:t>xx xxx</w:t>
            </w:r>
          </w:p>
        </w:tc>
      </w:tr>
      <w:tr w:rsidR="005404EA" w:rsidRPr="00AA34BE" w14:paraId="157EC438" w14:textId="77777777" w:rsidTr="006240A3">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7BBEE1CC" w14:textId="77777777" w:rsidR="005404EA" w:rsidRPr="00AA34BE" w:rsidRDefault="005404EA" w:rsidP="005404EA">
            <w:pPr>
              <w:ind w:left="709"/>
              <w:rPr>
                <w:rFonts w:cs="Arial"/>
                <w:b/>
                <w:bCs/>
                <w:color w:val="000000" w:themeColor="text1"/>
                <w:sz w:val="18"/>
                <w:szCs w:val="18"/>
              </w:rPr>
            </w:pPr>
            <w:r w:rsidRPr="00AA34BE">
              <w:rPr>
                <w:rFonts w:cs="Arial"/>
                <w:b/>
                <w:bCs/>
                <w:color w:val="000000" w:themeColor="text1"/>
                <w:sz w:val="18"/>
                <w:szCs w:val="18"/>
              </w:rPr>
              <w:t>Общо</w:t>
            </w:r>
          </w:p>
        </w:tc>
        <w:tc>
          <w:tcPr>
            <w:tcW w:w="2124" w:type="dxa"/>
            <w:tcBorders>
              <w:top w:val="nil"/>
              <w:left w:val="single" w:sz="4" w:space="0" w:color="auto"/>
              <w:bottom w:val="single" w:sz="8" w:space="0" w:color="auto"/>
              <w:right w:val="single" w:sz="4" w:space="0" w:color="auto"/>
            </w:tcBorders>
            <w:shd w:val="clear" w:color="auto" w:fill="auto"/>
            <w:noWrap/>
            <w:vAlign w:val="bottom"/>
            <w:hideMark/>
          </w:tcPr>
          <w:p w14:paraId="64E941BF" w14:textId="6885164C" w:rsidR="005404EA" w:rsidRPr="00AA34BE" w:rsidRDefault="005404EA" w:rsidP="005404EA">
            <w:pPr>
              <w:ind w:left="709"/>
              <w:jc w:val="right"/>
              <w:rPr>
                <w:rFonts w:cs="Arial"/>
                <w:b/>
                <w:bCs/>
                <w:color w:val="000000" w:themeColor="text1"/>
                <w:sz w:val="18"/>
                <w:szCs w:val="18"/>
              </w:rPr>
            </w:pPr>
            <w:r>
              <w:rPr>
                <w:rFonts w:cs="Arial"/>
                <w:b/>
                <w:bCs/>
                <w:color w:val="000000" w:themeColor="text1"/>
                <w:sz w:val="20"/>
                <w:szCs w:val="20"/>
                <w:lang w:val="en-US"/>
              </w:rPr>
              <w:t xml:space="preserve">xxx </w:t>
            </w:r>
            <w:proofErr w:type="spellStart"/>
            <w:r>
              <w:rPr>
                <w:rFonts w:cs="Arial"/>
                <w:b/>
                <w:bCs/>
                <w:color w:val="000000" w:themeColor="text1"/>
                <w:sz w:val="20"/>
                <w:szCs w:val="20"/>
                <w:lang w:val="en-US"/>
              </w:rPr>
              <w:t>xxx</w:t>
            </w:r>
            <w:proofErr w:type="spellEnd"/>
          </w:p>
        </w:tc>
        <w:tc>
          <w:tcPr>
            <w:tcW w:w="2126" w:type="dxa"/>
            <w:tcBorders>
              <w:top w:val="nil"/>
              <w:left w:val="nil"/>
              <w:bottom w:val="single" w:sz="8" w:space="0" w:color="auto"/>
              <w:right w:val="single" w:sz="8" w:space="0" w:color="auto"/>
            </w:tcBorders>
            <w:shd w:val="clear" w:color="auto" w:fill="auto"/>
            <w:noWrap/>
            <w:vAlign w:val="bottom"/>
            <w:hideMark/>
          </w:tcPr>
          <w:p w14:paraId="638C394A" w14:textId="499966B9" w:rsidR="005404EA" w:rsidRPr="00AA34BE" w:rsidRDefault="005404EA" w:rsidP="005404EA">
            <w:pPr>
              <w:ind w:left="709"/>
              <w:jc w:val="right"/>
              <w:rPr>
                <w:rFonts w:cs="Arial"/>
                <w:b/>
                <w:bCs/>
                <w:color w:val="000000" w:themeColor="text1"/>
                <w:sz w:val="18"/>
                <w:szCs w:val="18"/>
              </w:rPr>
            </w:pPr>
            <w:r>
              <w:rPr>
                <w:rFonts w:cs="Arial"/>
                <w:b/>
                <w:bCs/>
                <w:color w:val="000000" w:themeColor="text1"/>
                <w:sz w:val="20"/>
                <w:szCs w:val="20"/>
                <w:lang w:val="en-US"/>
              </w:rPr>
              <w:t>xx xxx</w:t>
            </w:r>
          </w:p>
        </w:tc>
      </w:tr>
    </w:tbl>
    <w:p w14:paraId="3B3A673E" w14:textId="77777777" w:rsidR="00D923BB" w:rsidRPr="00AA34BE" w:rsidRDefault="00D923BB" w:rsidP="00D923BB">
      <w:pPr>
        <w:ind w:left="709"/>
        <w:rPr>
          <w:rFonts w:cs="Arial"/>
          <w:color w:val="000000" w:themeColor="text1"/>
        </w:rPr>
      </w:pPr>
    </w:p>
    <w:p w14:paraId="4A9799A1" w14:textId="6F85E928" w:rsidR="00D923BB" w:rsidRPr="00AA34BE" w:rsidRDefault="00D923BB" w:rsidP="00D923BB">
      <w:pPr>
        <w:spacing w:line="240" w:lineRule="auto"/>
        <w:ind w:left="709"/>
        <w:rPr>
          <w:rFonts w:cs="Arial"/>
          <w:color w:val="000000" w:themeColor="text1"/>
        </w:rPr>
      </w:pPr>
      <w:r w:rsidRPr="00AA34BE">
        <w:rPr>
          <w:rFonts w:cs="Arial"/>
          <w:color w:val="000000" w:themeColor="text1"/>
        </w:rPr>
        <w:t xml:space="preserve">Аргументите, поради които искаме относителния дял на признатите ни разходи да </w:t>
      </w:r>
      <w:r w:rsidRPr="00AA34BE">
        <w:rPr>
          <w:rFonts w:cs="Arial"/>
          <w:bCs/>
          <w:color w:val="000000" w:themeColor="text1"/>
        </w:rPr>
        <w:t>бъде</w:t>
      </w:r>
      <w:r w:rsidRPr="00AA34BE">
        <w:rPr>
          <w:rFonts w:cs="Arial"/>
          <w:color w:val="000000" w:themeColor="text1"/>
        </w:rPr>
        <w:t xml:space="preserve"> </w:t>
      </w:r>
      <w:r w:rsidR="005404EA">
        <w:rPr>
          <w:rFonts w:cs="Arial"/>
          <w:b/>
          <w:color w:val="000000" w:themeColor="text1"/>
          <w:lang w:val="en-US"/>
        </w:rPr>
        <w:t>xx</w:t>
      </w:r>
      <w:r w:rsidRPr="00AA34BE">
        <w:rPr>
          <w:rFonts w:cs="Arial"/>
          <w:b/>
          <w:color w:val="000000" w:themeColor="text1"/>
        </w:rPr>
        <w:t>%</w:t>
      </w:r>
      <w:r w:rsidRPr="00AA34BE">
        <w:rPr>
          <w:rFonts w:cs="Arial"/>
          <w:color w:val="000000" w:themeColor="text1"/>
        </w:rPr>
        <w:t xml:space="preserve">,  или </w:t>
      </w:r>
      <w:r w:rsidR="005404EA">
        <w:rPr>
          <w:rFonts w:cs="Arial"/>
          <w:b/>
          <w:color w:val="000000" w:themeColor="text1"/>
          <w:lang w:val="en-US"/>
        </w:rPr>
        <w:t>xxx</w:t>
      </w:r>
      <w:r w:rsidRPr="00AA34BE">
        <w:rPr>
          <w:rFonts w:cs="Arial"/>
          <w:b/>
          <w:color w:val="000000" w:themeColor="text1"/>
        </w:rPr>
        <w:t> </w:t>
      </w:r>
      <w:r w:rsidR="005404EA">
        <w:rPr>
          <w:rFonts w:cs="Arial"/>
          <w:b/>
          <w:color w:val="000000" w:themeColor="text1"/>
          <w:lang w:val="en-US"/>
        </w:rPr>
        <w:t>xxx</w:t>
      </w:r>
      <w:r w:rsidRPr="00AA34BE">
        <w:rPr>
          <w:rFonts w:cs="Arial"/>
          <w:b/>
          <w:color w:val="000000" w:themeColor="text1"/>
        </w:rPr>
        <w:t xml:space="preserve"> MW</w:t>
      </w:r>
      <w:r w:rsidRPr="00AA34BE">
        <w:rPr>
          <w:rFonts w:cs="Arial"/>
          <w:b/>
          <w:color w:val="000000" w:themeColor="text1"/>
          <w:lang w:val="en-US"/>
        </w:rPr>
        <w:t>h</w:t>
      </w:r>
      <w:r w:rsidRPr="00AA34BE">
        <w:rPr>
          <w:rFonts w:cs="Arial"/>
          <w:b/>
          <w:color w:val="000000" w:themeColor="text1"/>
        </w:rPr>
        <w:t xml:space="preserve">, </w:t>
      </w:r>
      <w:r w:rsidRPr="00AA34BE">
        <w:rPr>
          <w:rFonts w:cs="Arial"/>
          <w:color w:val="000000" w:themeColor="text1"/>
        </w:rPr>
        <w:t>са следните:</w:t>
      </w:r>
    </w:p>
    <w:p w14:paraId="34ED82BE" w14:textId="350EE507" w:rsidR="00D923BB" w:rsidRPr="00AA34BE" w:rsidRDefault="00D923BB" w:rsidP="00D923BB">
      <w:pPr>
        <w:numPr>
          <w:ilvl w:val="0"/>
          <w:numId w:val="16"/>
        </w:numPr>
        <w:spacing w:line="240" w:lineRule="auto"/>
        <w:ind w:left="709"/>
        <w:rPr>
          <w:rFonts w:cs="Arial"/>
          <w:color w:val="000000" w:themeColor="text1"/>
        </w:rPr>
      </w:pPr>
      <w:r w:rsidRPr="00AA34BE">
        <w:rPr>
          <w:rFonts w:cs="Arial"/>
          <w:color w:val="000000" w:themeColor="text1"/>
        </w:rPr>
        <w:t xml:space="preserve">Спецификата на топлопреносната мрежа на гр. Пловдив – дълга топлопреносна мрежа със сравнително ниска плътност –  води до голяма продължителност на топлинната вълна и от необходимост денонощно да се работи при високи температури, за да осигурим качество на топлоснабдяване и на най – отдалечените потребители. Независимо кой от топлоизточниците е в работа, </w:t>
      </w:r>
      <w:r w:rsidRPr="00AA34BE">
        <w:rPr>
          <w:rFonts w:cs="Arial"/>
          <w:color w:val="000000" w:themeColor="text1"/>
          <w:u w:val="single"/>
        </w:rPr>
        <w:t xml:space="preserve">обективно технологичните разходи на топлина при преноса са над </w:t>
      </w:r>
      <w:r w:rsidR="005404EA">
        <w:rPr>
          <w:rFonts w:cs="Arial"/>
          <w:color w:val="000000" w:themeColor="text1"/>
          <w:u w:val="single"/>
          <w:lang w:val="en-US"/>
        </w:rPr>
        <w:t>xx</w:t>
      </w:r>
      <w:r w:rsidRPr="00AA34BE">
        <w:rPr>
          <w:rFonts w:cs="Arial"/>
          <w:color w:val="000000" w:themeColor="text1"/>
          <w:u w:val="single"/>
        </w:rPr>
        <w:t xml:space="preserve"> %, което ясно може да се види във фиг. 1.</w:t>
      </w:r>
    </w:p>
    <w:p w14:paraId="16BD70EB" w14:textId="7A7DF35C" w:rsidR="00D923BB" w:rsidRPr="00AA34BE" w:rsidRDefault="00D923BB" w:rsidP="00D923BB">
      <w:pPr>
        <w:spacing w:line="240" w:lineRule="auto"/>
        <w:ind w:left="709"/>
        <w:rPr>
          <w:rFonts w:cs="Arial"/>
          <w:color w:val="000000" w:themeColor="text1"/>
          <w:lang w:val="en-US"/>
        </w:rPr>
      </w:pPr>
      <w:r w:rsidRPr="00AA34BE">
        <w:rPr>
          <w:rFonts w:cs="Arial"/>
          <w:color w:val="000000" w:themeColor="text1"/>
        </w:rPr>
        <w:lastRenderedPageBreak/>
        <w:t xml:space="preserve">Видно от извършения сравнителен анализ с предложените технологични разходи по елементи за ценовата година, независимо от прогресивно влошаващото се състояние на топлопреносната мрежа, значително намалената плътност на потребление и значителното увеличение дължина на мрежата, исканото признаване на относителния дял на признатите разходи на </w:t>
      </w:r>
      <w:r w:rsidR="005404EA">
        <w:rPr>
          <w:rFonts w:cs="Arial"/>
          <w:color w:val="000000" w:themeColor="text1"/>
          <w:lang w:val="en-US"/>
        </w:rPr>
        <w:t xml:space="preserve">xx </w:t>
      </w:r>
      <w:r w:rsidRPr="00AA34BE">
        <w:rPr>
          <w:rFonts w:cs="Arial"/>
          <w:color w:val="000000" w:themeColor="text1"/>
        </w:rPr>
        <w:t>% е в съответствие с Методиката за определяне на допустимия размер на технологичните разходи</w:t>
      </w:r>
      <w:r w:rsidRPr="00AA34BE">
        <w:rPr>
          <w:rFonts w:cs="Arial"/>
          <w:color w:val="000000" w:themeColor="text1"/>
          <w:lang w:val="en-US"/>
        </w:rPr>
        <w:t>.</w:t>
      </w:r>
    </w:p>
    <w:p w14:paraId="7CA19C31" w14:textId="77777777" w:rsidR="00D923BB" w:rsidRPr="00AA34BE" w:rsidRDefault="00D923BB" w:rsidP="00D923BB">
      <w:pPr>
        <w:spacing w:line="240" w:lineRule="auto"/>
        <w:ind w:left="709"/>
        <w:rPr>
          <w:rFonts w:cs="Arial"/>
          <w:color w:val="000000" w:themeColor="text1"/>
        </w:rPr>
      </w:pPr>
      <w:r w:rsidRPr="00AA34BE">
        <w:rPr>
          <w:rFonts w:cs="Arial"/>
          <w:color w:val="000000" w:themeColor="text1"/>
        </w:rPr>
        <w:t xml:space="preserve">Независимо от това, че ЕВН ТР инвестира в обновяване на топлопреносната мрежа и съоръженията към нея, не е възможно едновременно да се </w:t>
      </w:r>
      <w:proofErr w:type="spellStart"/>
      <w:r w:rsidRPr="00AA34BE">
        <w:rPr>
          <w:rFonts w:cs="Arial"/>
          <w:color w:val="000000" w:themeColor="text1"/>
        </w:rPr>
        <w:t>рехабилитират</w:t>
      </w:r>
      <w:proofErr w:type="spellEnd"/>
      <w:r w:rsidRPr="00AA34BE">
        <w:rPr>
          <w:rFonts w:cs="Arial"/>
          <w:color w:val="000000" w:themeColor="text1"/>
        </w:rPr>
        <w:t xml:space="preserve"> големи участъци, за да не се блокира градската среда и обичайните дейности и маршрути за движение на гражданите;</w:t>
      </w:r>
    </w:p>
    <w:p w14:paraId="5EF2062D" w14:textId="230C4146" w:rsidR="00D923BB" w:rsidRPr="00AA34BE" w:rsidRDefault="00D923BB" w:rsidP="00D923BB">
      <w:pPr>
        <w:numPr>
          <w:ilvl w:val="0"/>
          <w:numId w:val="16"/>
        </w:numPr>
        <w:spacing w:line="240" w:lineRule="auto"/>
        <w:ind w:left="709"/>
        <w:rPr>
          <w:rFonts w:cs="Arial"/>
          <w:color w:val="000000" w:themeColor="text1"/>
        </w:rPr>
      </w:pPr>
      <w:r w:rsidRPr="00AA34BE">
        <w:rPr>
          <w:rFonts w:cs="Arial"/>
          <w:color w:val="000000" w:themeColor="text1"/>
        </w:rPr>
        <w:t xml:space="preserve">заявеното от ЕВН ТР за новия ценови период количество на технологичните разходи при преноса като относителен дял от </w:t>
      </w:r>
      <w:r w:rsidR="005404EA">
        <w:rPr>
          <w:rFonts w:cs="Arial"/>
          <w:color w:val="000000" w:themeColor="text1"/>
          <w:lang w:val="en-US"/>
        </w:rPr>
        <w:t xml:space="preserve">xx </w:t>
      </w:r>
      <w:r w:rsidRPr="00AA34BE">
        <w:rPr>
          <w:rFonts w:cs="Arial"/>
          <w:color w:val="000000" w:themeColor="text1"/>
        </w:rPr>
        <w:t>% е по - малко от отчетените количества през разглеждания период от 8 последователни ценови години и съизмерим с абсолютния им размер на разходи от преди 18 г.;</w:t>
      </w:r>
    </w:p>
    <w:p w14:paraId="05E3C84A" w14:textId="77777777" w:rsidR="00D923BB" w:rsidRPr="00AA34BE" w:rsidRDefault="00D923BB" w:rsidP="00D923BB">
      <w:pPr>
        <w:numPr>
          <w:ilvl w:val="0"/>
          <w:numId w:val="19"/>
        </w:numPr>
        <w:spacing w:before="60" w:after="60" w:line="240" w:lineRule="auto"/>
        <w:ind w:left="709"/>
        <w:rPr>
          <w:rFonts w:cs="Arial"/>
          <w:color w:val="000000" w:themeColor="text1"/>
        </w:rPr>
      </w:pPr>
      <w:r w:rsidRPr="00AA34BE">
        <w:rPr>
          <w:rFonts w:cs="Arial"/>
          <w:color w:val="000000" w:themeColor="text1"/>
        </w:rPr>
        <w:t>част от амбициозния план на ЕВН ТР е да привлече средства по проекти, финансирани със средства от европейски програми и фондове, а за това са му необходими допълнителни разполагаеми парични средства. Задължително изискване за такива проекти е самоучастието на бенефициента чрез собствено финансиране за извършване на проектното предложение;</w:t>
      </w:r>
    </w:p>
    <w:p w14:paraId="0E876D7E" w14:textId="77777777" w:rsidR="00D923BB" w:rsidRPr="00AA34BE" w:rsidRDefault="00D923BB" w:rsidP="00D923BB">
      <w:pPr>
        <w:numPr>
          <w:ilvl w:val="0"/>
          <w:numId w:val="19"/>
        </w:numPr>
        <w:spacing w:before="60" w:after="60" w:line="240" w:lineRule="auto"/>
        <w:ind w:left="709"/>
        <w:rPr>
          <w:rFonts w:cs="Arial"/>
          <w:color w:val="000000" w:themeColor="text1"/>
        </w:rPr>
      </w:pPr>
      <w:r w:rsidRPr="00AA34BE">
        <w:rPr>
          <w:rFonts w:cs="Arial"/>
          <w:color w:val="000000" w:themeColor="text1"/>
        </w:rPr>
        <w:t>рехабилитацията на топлопреносната мрежа ще позволи на ЕВН ТР да проучи и да внедри за изпълнение иновационни технически решения за контрол и проследяване на технологичните разходи на топлинна енергия;</w:t>
      </w:r>
    </w:p>
    <w:p w14:paraId="7C802D7F" w14:textId="77777777" w:rsidR="00D923BB" w:rsidRPr="00AA34BE" w:rsidRDefault="00D923BB" w:rsidP="00D923BB">
      <w:pPr>
        <w:numPr>
          <w:ilvl w:val="0"/>
          <w:numId w:val="19"/>
        </w:numPr>
        <w:spacing w:before="60" w:after="60" w:line="240" w:lineRule="auto"/>
        <w:ind w:left="709"/>
        <w:rPr>
          <w:rFonts w:cs="Arial"/>
          <w:color w:val="000000" w:themeColor="text1"/>
        </w:rPr>
      </w:pPr>
      <w:r w:rsidRPr="00AA34BE">
        <w:rPr>
          <w:rFonts w:cs="Arial"/>
          <w:color w:val="000000" w:themeColor="text1"/>
        </w:rPr>
        <w:t xml:space="preserve">рехабилитацията на топлопреносната мрежа води до ползи за потребителите чрез повишаването на качеството на предоставяните услуги – до намаляване на аварийните изключвания и до подобряването на преносните й способности. </w:t>
      </w:r>
    </w:p>
    <w:p w14:paraId="5C5E6037" w14:textId="77777777" w:rsidR="00D923BB" w:rsidRPr="00AA34BE" w:rsidRDefault="00D923BB" w:rsidP="00D923BB">
      <w:pPr>
        <w:spacing w:before="60" w:after="60" w:line="240" w:lineRule="auto"/>
        <w:rPr>
          <w:rFonts w:cs="Arial"/>
          <w:color w:val="000000" w:themeColor="text1"/>
        </w:rPr>
      </w:pPr>
    </w:p>
    <w:p w14:paraId="2B9DFA38" w14:textId="77777777" w:rsidR="00D923BB" w:rsidRPr="00AA34BE" w:rsidRDefault="00D923BB" w:rsidP="00D923BB">
      <w:pPr>
        <w:pStyle w:val="Heading2"/>
        <w:keepLines w:val="0"/>
        <w:numPr>
          <w:ilvl w:val="1"/>
          <w:numId w:val="12"/>
        </w:numPr>
        <w:tabs>
          <w:tab w:val="clear" w:pos="567"/>
        </w:tabs>
        <w:spacing w:before="240" w:line="240" w:lineRule="auto"/>
        <w:rPr>
          <w:color w:val="000000" w:themeColor="text1"/>
        </w:rPr>
      </w:pPr>
      <w:r w:rsidRPr="00AA34BE">
        <w:rPr>
          <w:color w:val="000000" w:themeColor="text1"/>
        </w:rPr>
        <w:t>Прогнозно количество електрическа енергия за собствени нужди и трансформация за новия ценови период и разпределението на това количество между електрическата и топлинната енергия, сравнено с отчета за 2022 г.</w:t>
      </w:r>
    </w:p>
    <w:p w14:paraId="669500D2" w14:textId="77777777" w:rsidR="00D923BB" w:rsidRPr="00AA34BE" w:rsidRDefault="00D923BB" w:rsidP="00D923BB">
      <w:pPr>
        <w:rPr>
          <w:color w:val="000000" w:themeColor="text1"/>
        </w:rPr>
      </w:pPr>
    </w:p>
    <w:p w14:paraId="7D4D6741" w14:textId="77777777" w:rsidR="00D923BB" w:rsidRPr="00AA34BE" w:rsidRDefault="00D923BB" w:rsidP="00D923BB">
      <w:pPr>
        <w:spacing w:line="240" w:lineRule="auto"/>
        <w:ind w:left="709"/>
        <w:jc w:val="both"/>
        <w:rPr>
          <w:rFonts w:cs="Arial"/>
          <w:bCs/>
          <w:color w:val="000000" w:themeColor="text1"/>
        </w:rPr>
      </w:pPr>
      <w:r w:rsidRPr="00AA34BE">
        <w:rPr>
          <w:rFonts w:cs="Arial"/>
          <w:bCs/>
          <w:color w:val="000000" w:themeColor="text1"/>
        </w:rPr>
        <w:t>В следващата таблица е показано очакваното електропроизводство и разпределението на електрическата енергия за собствени нужди на централите за производство на топлинна и електрическа енергия за ценовия период в сравнение с 20</w:t>
      </w:r>
      <w:r w:rsidRPr="00AA34BE">
        <w:rPr>
          <w:rFonts w:cs="Arial"/>
          <w:bCs/>
          <w:color w:val="000000" w:themeColor="text1"/>
          <w:lang w:val="en-US"/>
        </w:rPr>
        <w:t>2</w:t>
      </w:r>
      <w:r w:rsidRPr="00AA34BE">
        <w:rPr>
          <w:rFonts w:cs="Arial"/>
          <w:bCs/>
          <w:color w:val="000000" w:themeColor="text1"/>
        </w:rPr>
        <w:t>3 г.:</w:t>
      </w:r>
    </w:p>
    <w:p w14:paraId="1D7F2931" w14:textId="77777777" w:rsidR="00D923BB" w:rsidRPr="00AA34BE" w:rsidRDefault="00D923BB" w:rsidP="00D923BB">
      <w:pPr>
        <w:spacing w:line="240" w:lineRule="auto"/>
        <w:ind w:left="709"/>
        <w:jc w:val="both"/>
        <w:rPr>
          <w:rFonts w:cs="Arial"/>
          <w:bCs/>
          <w:color w:val="000000" w:themeColor="text1"/>
        </w:rPr>
      </w:pPr>
    </w:p>
    <w:p w14:paraId="424CE0B2" w14:textId="77777777" w:rsidR="00D923BB" w:rsidRPr="00AA34BE" w:rsidRDefault="00D923BB" w:rsidP="00D923BB">
      <w:pPr>
        <w:spacing w:line="240" w:lineRule="auto"/>
        <w:ind w:left="709"/>
        <w:jc w:val="both"/>
        <w:rPr>
          <w:rFonts w:cs="Arial"/>
          <w:bCs/>
          <w:color w:val="000000" w:themeColor="text1"/>
        </w:rPr>
      </w:pPr>
    </w:p>
    <w:p w14:paraId="1A54ED2D" w14:textId="77777777" w:rsidR="00D923BB" w:rsidRPr="00AA34BE" w:rsidRDefault="00D923BB" w:rsidP="00D923BB">
      <w:pPr>
        <w:ind w:left="709"/>
        <w:jc w:val="both"/>
        <w:rPr>
          <w:rFonts w:cs="Arial"/>
          <w:bCs/>
          <w:color w:val="000000" w:themeColor="text1"/>
        </w:rPr>
      </w:pPr>
    </w:p>
    <w:tbl>
      <w:tblPr>
        <w:tblW w:w="8047" w:type="dxa"/>
        <w:jc w:val="center"/>
        <w:tblCellMar>
          <w:left w:w="70" w:type="dxa"/>
          <w:right w:w="70" w:type="dxa"/>
        </w:tblCellMar>
        <w:tblLook w:val="04A0" w:firstRow="1" w:lastRow="0" w:firstColumn="1" w:lastColumn="0" w:noHBand="0" w:noVBand="1"/>
      </w:tblPr>
      <w:tblGrid>
        <w:gridCol w:w="3680"/>
        <w:gridCol w:w="760"/>
        <w:gridCol w:w="847"/>
        <w:gridCol w:w="880"/>
        <w:gridCol w:w="1880"/>
      </w:tblGrid>
      <w:tr w:rsidR="00AA34BE" w:rsidRPr="00AA34BE" w14:paraId="10A22898" w14:textId="77777777" w:rsidTr="006240A3">
        <w:trPr>
          <w:trHeight w:val="270"/>
          <w:jc w:val="center"/>
        </w:trPr>
        <w:tc>
          <w:tcPr>
            <w:tcW w:w="3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B8906" w14:textId="77777777" w:rsidR="00D923BB" w:rsidRPr="00AA34BE" w:rsidRDefault="00D923BB" w:rsidP="006240A3">
            <w:pPr>
              <w:spacing w:line="240" w:lineRule="auto"/>
              <w:jc w:val="center"/>
              <w:rPr>
                <w:rFonts w:eastAsia="Times New Roman" w:cs="Arial"/>
                <w:b/>
                <w:bCs/>
                <w:color w:val="000000" w:themeColor="text1"/>
                <w:spacing w:val="0"/>
                <w:sz w:val="20"/>
                <w:szCs w:val="20"/>
                <w:lang w:eastAsia="bg-BG"/>
              </w:rPr>
            </w:pPr>
            <w:r w:rsidRPr="00AA34BE">
              <w:rPr>
                <w:rFonts w:eastAsia="Times New Roman" w:cs="Arial"/>
                <w:b/>
                <w:bCs/>
                <w:color w:val="000000" w:themeColor="text1"/>
                <w:spacing w:val="0"/>
                <w:sz w:val="20"/>
                <w:szCs w:val="20"/>
                <w:lang w:eastAsia="bg-BG"/>
              </w:rPr>
              <w:t>ПОКАЗАТЕЛ</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0664956F" w14:textId="77777777" w:rsidR="00D923BB" w:rsidRPr="00AA34BE" w:rsidRDefault="00D923BB" w:rsidP="006240A3">
            <w:pPr>
              <w:spacing w:line="240" w:lineRule="auto"/>
              <w:jc w:val="center"/>
              <w:rPr>
                <w:rFonts w:eastAsia="Times New Roman" w:cs="Arial"/>
                <w:b/>
                <w:bCs/>
                <w:color w:val="000000" w:themeColor="text1"/>
                <w:spacing w:val="0"/>
                <w:sz w:val="20"/>
                <w:szCs w:val="20"/>
                <w:lang w:eastAsia="bg-BG"/>
              </w:rPr>
            </w:pPr>
            <w:r w:rsidRPr="00AA34BE">
              <w:rPr>
                <w:rFonts w:eastAsia="Times New Roman" w:cs="Arial"/>
                <w:b/>
                <w:bCs/>
                <w:color w:val="000000" w:themeColor="text1"/>
                <w:spacing w:val="0"/>
                <w:sz w:val="20"/>
                <w:szCs w:val="20"/>
                <w:lang w:eastAsia="bg-BG"/>
              </w:rPr>
              <w:t> </w:t>
            </w:r>
          </w:p>
        </w:tc>
        <w:tc>
          <w:tcPr>
            <w:tcW w:w="847" w:type="dxa"/>
            <w:tcBorders>
              <w:top w:val="single" w:sz="4" w:space="0" w:color="auto"/>
              <w:left w:val="nil"/>
              <w:bottom w:val="single" w:sz="4" w:space="0" w:color="auto"/>
              <w:right w:val="single" w:sz="4" w:space="0" w:color="auto"/>
            </w:tcBorders>
            <w:shd w:val="clear" w:color="000000" w:fill="FFFFFF"/>
            <w:noWrap/>
            <w:vAlign w:val="center"/>
            <w:hideMark/>
          </w:tcPr>
          <w:p w14:paraId="5BC5662A" w14:textId="77777777" w:rsidR="00D923BB" w:rsidRPr="00AA34BE" w:rsidRDefault="00D923BB" w:rsidP="006240A3">
            <w:pPr>
              <w:spacing w:line="240" w:lineRule="auto"/>
              <w:jc w:val="center"/>
              <w:rPr>
                <w:rFonts w:eastAsia="Times New Roman" w:cs="Arial"/>
                <w:b/>
                <w:bCs/>
                <w:color w:val="000000" w:themeColor="text1"/>
                <w:spacing w:val="0"/>
                <w:sz w:val="20"/>
                <w:szCs w:val="20"/>
                <w:lang w:eastAsia="bg-BG"/>
              </w:rPr>
            </w:pPr>
            <w:r w:rsidRPr="00AA34BE">
              <w:rPr>
                <w:rFonts w:eastAsia="Times New Roman" w:cs="Arial"/>
                <w:b/>
                <w:bCs/>
                <w:color w:val="000000" w:themeColor="text1"/>
                <w:spacing w:val="0"/>
                <w:sz w:val="20"/>
                <w:szCs w:val="20"/>
                <w:lang w:eastAsia="bg-BG"/>
              </w:rPr>
              <w:t>МЯРКА</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3EED44DB" w14:textId="77777777" w:rsidR="00D923BB" w:rsidRPr="00AA34BE" w:rsidRDefault="00D923BB" w:rsidP="006240A3">
            <w:pPr>
              <w:spacing w:line="240" w:lineRule="auto"/>
              <w:jc w:val="center"/>
              <w:rPr>
                <w:rFonts w:eastAsia="Times New Roman" w:cs="Arial"/>
                <w:b/>
                <w:bCs/>
                <w:color w:val="000000" w:themeColor="text1"/>
                <w:spacing w:val="0"/>
                <w:sz w:val="20"/>
                <w:szCs w:val="20"/>
                <w:lang w:eastAsia="bg-BG"/>
              </w:rPr>
            </w:pPr>
            <w:r w:rsidRPr="00AA34BE">
              <w:rPr>
                <w:rFonts w:eastAsia="Times New Roman" w:cs="Arial"/>
                <w:b/>
                <w:bCs/>
                <w:color w:val="000000" w:themeColor="text1"/>
                <w:spacing w:val="0"/>
                <w:sz w:val="20"/>
                <w:szCs w:val="20"/>
                <w:lang w:eastAsia="bg-BG"/>
              </w:rPr>
              <w:t>2023г.</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2F77591B" w14:textId="77777777" w:rsidR="00D923BB" w:rsidRPr="00AA34BE" w:rsidRDefault="00D923BB" w:rsidP="006240A3">
            <w:pPr>
              <w:spacing w:line="240" w:lineRule="auto"/>
              <w:jc w:val="center"/>
              <w:rPr>
                <w:rFonts w:eastAsia="Times New Roman" w:cs="Arial"/>
                <w:b/>
                <w:bCs/>
                <w:color w:val="000000" w:themeColor="text1"/>
                <w:spacing w:val="0"/>
                <w:sz w:val="20"/>
                <w:szCs w:val="20"/>
                <w:lang w:eastAsia="bg-BG"/>
              </w:rPr>
            </w:pPr>
            <w:r w:rsidRPr="00AA34BE">
              <w:rPr>
                <w:rFonts w:eastAsia="Times New Roman" w:cs="Arial"/>
                <w:b/>
                <w:bCs/>
                <w:color w:val="000000" w:themeColor="text1"/>
                <w:spacing w:val="0"/>
                <w:sz w:val="20"/>
                <w:szCs w:val="20"/>
                <w:lang w:eastAsia="bg-BG"/>
              </w:rPr>
              <w:t>07.2024-06.2025г.</w:t>
            </w:r>
          </w:p>
        </w:tc>
      </w:tr>
      <w:tr w:rsidR="00AA34BE" w:rsidRPr="00AA34BE" w14:paraId="7D0C7D0C" w14:textId="77777777" w:rsidTr="006240A3">
        <w:trPr>
          <w:trHeight w:val="270"/>
          <w:jc w:val="center"/>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37FC0325" w14:textId="77777777" w:rsidR="00D923BB" w:rsidRPr="00AA34BE" w:rsidRDefault="00D923BB" w:rsidP="006240A3">
            <w:pPr>
              <w:spacing w:line="240" w:lineRule="auto"/>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Произведена електрическа енергия</w:t>
            </w:r>
          </w:p>
        </w:tc>
        <w:tc>
          <w:tcPr>
            <w:tcW w:w="760" w:type="dxa"/>
            <w:tcBorders>
              <w:top w:val="nil"/>
              <w:left w:val="nil"/>
              <w:bottom w:val="single" w:sz="4" w:space="0" w:color="auto"/>
              <w:right w:val="single" w:sz="4" w:space="0" w:color="auto"/>
            </w:tcBorders>
            <w:shd w:val="clear" w:color="auto" w:fill="auto"/>
            <w:noWrap/>
            <w:vAlign w:val="center"/>
            <w:hideMark/>
          </w:tcPr>
          <w:p w14:paraId="5A11778F" w14:textId="77777777" w:rsidR="00D923BB" w:rsidRPr="00AA34BE" w:rsidRDefault="00D923BB" w:rsidP="006240A3">
            <w:pPr>
              <w:spacing w:line="240" w:lineRule="auto"/>
              <w:jc w:val="center"/>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 xml:space="preserve">Е </w:t>
            </w:r>
            <w:proofErr w:type="spellStart"/>
            <w:r w:rsidRPr="00AA34BE">
              <w:rPr>
                <w:rFonts w:eastAsia="Times New Roman" w:cs="Arial"/>
                <w:color w:val="000000" w:themeColor="text1"/>
                <w:spacing w:val="0"/>
                <w:sz w:val="20"/>
                <w:szCs w:val="20"/>
                <w:lang w:eastAsia="bg-BG"/>
              </w:rPr>
              <w:t>бр</w:t>
            </w:r>
            <w:proofErr w:type="spellEnd"/>
          </w:p>
        </w:tc>
        <w:tc>
          <w:tcPr>
            <w:tcW w:w="847" w:type="dxa"/>
            <w:tcBorders>
              <w:top w:val="nil"/>
              <w:left w:val="nil"/>
              <w:bottom w:val="single" w:sz="4" w:space="0" w:color="auto"/>
              <w:right w:val="single" w:sz="4" w:space="0" w:color="auto"/>
            </w:tcBorders>
            <w:shd w:val="clear" w:color="000000" w:fill="FFFFFF"/>
            <w:noWrap/>
            <w:vAlign w:val="center"/>
            <w:hideMark/>
          </w:tcPr>
          <w:p w14:paraId="6B248FF9" w14:textId="77777777" w:rsidR="00D923BB" w:rsidRPr="00AA34BE" w:rsidRDefault="00D923BB" w:rsidP="006240A3">
            <w:pPr>
              <w:spacing w:line="240" w:lineRule="auto"/>
              <w:jc w:val="center"/>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MWh</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43A4A" w14:textId="6FF10CAE" w:rsidR="00D923BB" w:rsidRPr="005404EA" w:rsidRDefault="005404EA" w:rsidP="006240A3">
            <w:pPr>
              <w:spacing w:line="240" w:lineRule="auto"/>
              <w:jc w:val="center"/>
              <w:rPr>
                <w:rFonts w:eastAsia="Times New Roman" w:cs="Arial"/>
                <w:color w:val="000000" w:themeColor="text1"/>
                <w:spacing w:val="0"/>
                <w:sz w:val="20"/>
                <w:szCs w:val="20"/>
                <w:lang w:val="en-US" w:eastAsia="bg-BG"/>
              </w:rPr>
            </w:pPr>
            <w:r>
              <w:rPr>
                <w:rFonts w:cs="Arial"/>
                <w:color w:val="000000" w:themeColor="text1"/>
                <w:sz w:val="20"/>
                <w:szCs w:val="20"/>
                <w:lang w:val="en-US"/>
              </w:rPr>
              <w:t xml:space="preserve">xxx </w:t>
            </w:r>
            <w:proofErr w:type="spellStart"/>
            <w:r>
              <w:rPr>
                <w:rFonts w:cs="Arial"/>
                <w:color w:val="000000" w:themeColor="text1"/>
                <w:sz w:val="20"/>
                <w:szCs w:val="20"/>
                <w:lang w:val="en-US"/>
              </w:rPr>
              <w:t>xxx</w:t>
            </w:r>
            <w:proofErr w:type="spellEnd"/>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412D2C62" w14:textId="5D117B3A" w:rsidR="00D923BB" w:rsidRPr="00AA34BE" w:rsidRDefault="005404EA" w:rsidP="006240A3">
            <w:pPr>
              <w:spacing w:line="240" w:lineRule="auto"/>
              <w:jc w:val="center"/>
              <w:rPr>
                <w:rFonts w:eastAsia="Times New Roman" w:cs="Arial"/>
                <w:color w:val="000000" w:themeColor="text1"/>
                <w:spacing w:val="0"/>
                <w:sz w:val="20"/>
                <w:szCs w:val="20"/>
                <w:lang w:eastAsia="bg-BG"/>
              </w:rPr>
            </w:pPr>
            <w:r>
              <w:rPr>
                <w:rFonts w:cs="Arial"/>
                <w:color w:val="000000" w:themeColor="text1"/>
                <w:sz w:val="20"/>
                <w:szCs w:val="20"/>
                <w:lang w:val="en-US"/>
              </w:rPr>
              <w:t xml:space="preserve">xxx </w:t>
            </w:r>
            <w:proofErr w:type="spellStart"/>
            <w:r>
              <w:rPr>
                <w:rFonts w:cs="Arial"/>
                <w:color w:val="000000" w:themeColor="text1"/>
                <w:sz w:val="20"/>
                <w:szCs w:val="20"/>
                <w:lang w:val="en-US"/>
              </w:rPr>
              <w:t>xxx</w:t>
            </w:r>
            <w:proofErr w:type="spellEnd"/>
          </w:p>
        </w:tc>
      </w:tr>
      <w:tr w:rsidR="00AA34BE" w:rsidRPr="00AA34BE" w14:paraId="225A7DB9" w14:textId="77777777" w:rsidTr="006240A3">
        <w:trPr>
          <w:trHeight w:val="540"/>
          <w:jc w:val="center"/>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63262035" w14:textId="77777777" w:rsidR="00D923BB" w:rsidRPr="00AA34BE" w:rsidRDefault="00D923BB" w:rsidP="006240A3">
            <w:pPr>
              <w:spacing w:line="240" w:lineRule="auto"/>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 xml:space="preserve">Електрическа енергия за собствени нужди на централата, за производство на: </w:t>
            </w:r>
          </w:p>
        </w:tc>
        <w:tc>
          <w:tcPr>
            <w:tcW w:w="760" w:type="dxa"/>
            <w:tcBorders>
              <w:top w:val="nil"/>
              <w:left w:val="nil"/>
              <w:bottom w:val="single" w:sz="4" w:space="0" w:color="auto"/>
              <w:right w:val="single" w:sz="4" w:space="0" w:color="auto"/>
            </w:tcBorders>
            <w:shd w:val="clear" w:color="auto" w:fill="auto"/>
            <w:noWrap/>
            <w:vAlign w:val="center"/>
            <w:hideMark/>
          </w:tcPr>
          <w:p w14:paraId="48AE6BFE" w14:textId="77777777" w:rsidR="00D923BB" w:rsidRPr="00AA34BE" w:rsidRDefault="00D923BB" w:rsidP="006240A3">
            <w:pPr>
              <w:spacing w:line="240" w:lineRule="auto"/>
              <w:jc w:val="center"/>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 xml:space="preserve">Е </w:t>
            </w:r>
            <w:proofErr w:type="spellStart"/>
            <w:r w:rsidRPr="00AA34BE">
              <w:rPr>
                <w:rFonts w:eastAsia="Times New Roman" w:cs="Arial"/>
                <w:color w:val="000000" w:themeColor="text1"/>
                <w:spacing w:val="0"/>
                <w:sz w:val="20"/>
                <w:szCs w:val="20"/>
                <w:lang w:eastAsia="bg-BG"/>
              </w:rPr>
              <w:t>сн</w:t>
            </w:r>
            <w:proofErr w:type="spellEnd"/>
          </w:p>
        </w:tc>
        <w:tc>
          <w:tcPr>
            <w:tcW w:w="847" w:type="dxa"/>
            <w:tcBorders>
              <w:top w:val="nil"/>
              <w:left w:val="nil"/>
              <w:bottom w:val="single" w:sz="4" w:space="0" w:color="auto"/>
              <w:right w:val="single" w:sz="4" w:space="0" w:color="auto"/>
            </w:tcBorders>
            <w:shd w:val="clear" w:color="000000" w:fill="FFFFFF"/>
            <w:noWrap/>
            <w:vAlign w:val="center"/>
            <w:hideMark/>
          </w:tcPr>
          <w:p w14:paraId="6671C7D6" w14:textId="77777777" w:rsidR="00D923BB" w:rsidRPr="00AA34BE" w:rsidRDefault="00D923BB" w:rsidP="006240A3">
            <w:pPr>
              <w:spacing w:line="240" w:lineRule="auto"/>
              <w:jc w:val="center"/>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MWh</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60C5168" w14:textId="2CEFD2B8" w:rsidR="00D923BB" w:rsidRPr="005404EA" w:rsidRDefault="005404EA" w:rsidP="006240A3">
            <w:pPr>
              <w:spacing w:line="240" w:lineRule="auto"/>
              <w:jc w:val="center"/>
              <w:rPr>
                <w:rFonts w:eastAsia="Times New Roman" w:cs="Arial"/>
                <w:color w:val="000000" w:themeColor="text1"/>
                <w:spacing w:val="0"/>
                <w:sz w:val="20"/>
                <w:szCs w:val="20"/>
                <w:lang w:val="en-US" w:eastAsia="bg-BG"/>
              </w:rPr>
            </w:pPr>
            <w:r>
              <w:rPr>
                <w:rFonts w:cs="Arial"/>
                <w:color w:val="000000" w:themeColor="text1"/>
                <w:sz w:val="20"/>
                <w:szCs w:val="20"/>
                <w:lang w:val="en-US"/>
              </w:rPr>
              <w:t>x xxx</w:t>
            </w:r>
          </w:p>
        </w:tc>
        <w:tc>
          <w:tcPr>
            <w:tcW w:w="1880" w:type="dxa"/>
            <w:tcBorders>
              <w:top w:val="nil"/>
              <w:left w:val="nil"/>
              <w:bottom w:val="single" w:sz="4" w:space="0" w:color="auto"/>
              <w:right w:val="single" w:sz="4" w:space="0" w:color="auto"/>
            </w:tcBorders>
            <w:shd w:val="clear" w:color="auto" w:fill="auto"/>
            <w:noWrap/>
            <w:vAlign w:val="center"/>
            <w:hideMark/>
          </w:tcPr>
          <w:p w14:paraId="119BD581" w14:textId="3F7BB670" w:rsidR="00D923BB" w:rsidRPr="00AA34BE" w:rsidRDefault="005404EA" w:rsidP="006240A3">
            <w:pPr>
              <w:spacing w:line="240" w:lineRule="auto"/>
              <w:jc w:val="center"/>
              <w:rPr>
                <w:rFonts w:eastAsia="Times New Roman" w:cs="Arial"/>
                <w:color w:val="000000" w:themeColor="text1"/>
                <w:spacing w:val="0"/>
                <w:sz w:val="20"/>
                <w:szCs w:val="20"/>
                <w:lang w:eastAsia="bg-BG"/>
              </w:rPr>
            </w:pPr>
            <w:r>
              <w:rPr>
                <w:rFonts w:cs="Arial"/>
                <w:color w:val="000000" w:themeColor="text1"/>
                <w:sz w:val="20"/>
                <w:szCs w:val="20"/>
                <w:lang w:val="en-US"/>
              </w:rPr>
              <w:t>x xxx</w:t>
            </w:r>
          </w:p>
        </w:tc>
      </w:tr>
      <w:tr w:rsidR="00AA34BE" w:rsidRPr="00AA34BE" w14:paraId="507D2BC1" w14:textId="77777777" w:rsidTr="006240A3">
        <w:trPr>
          <w:trHeight w:val="270"/>
          <w:jc w:val="center"/>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0495DD1B" w14:textId="77777777" w:rsidR="00D923BB" w:rsidRPr="00AA34BE" w:rsidRDefault="00D923BB" w:rsidP="006240A3">
            <w:pPr>
              <w:spacing w:line="240" w:lineRule="auto"/>
              <w:jc w:val="right"/>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електрическа енергия</w:t>
            </w:r>
          </w:p>
        </w:tc>
        <w:tc>
          <w:tcPr>
            <w:tcW w:w="760" w:type="dxa"/>
            <w:tcBorders>
              <w:top w:val="nil"/>
              <w:left w:val="nil"/>
              <w:bottom w:val="single" w:sz="4" w:space="0" w:color="auto"/>
              <w:right w:val="single" w:sz="4" w:space="0" w:color="auto"/>
            </w:tcBorders>
            <w:shd w:val="clear" w:color="auto" w:fill="auto"/>
            <w:noWrap/>
            <w:vAlign w:val="center"/>
            <w:hideMark/>
          </w:tcPr>
          <w:p w14:paraId="044FFF72" w14:textId="77777777" w:rsidR="00D923BB" w:rsidRPr="00AA34BE" w:rsidRDefault="00D923BB" w:rsidP="006240A3">
            <w:pPr>
              <w:spacing w:line="240" w:lineRule="auto"/>
              <w:jc w:val="center"/>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 xml:space="preserve">Е </w:t>
            </w:r>
            <w:proofErr w:type="spellStart"/>
            <w:r w:rsidRPr="00AA34BE">
              <w:rPr>
                <w:rFonts w:eastAsia="Times New Roman" w:cs="Arial"/>
                <w:color w:val="000000" w:themeColor="text1"/>
                <w:spacing w:val="0"/>
                <w:sz w:val="20"/>
                <w:szCs w:val="20"/>
                <w:lang w:eastAsia="bg-BG"/>
              </w:rPr>
              <w:t>сн</w:t>
            </w:r>
            <w:proofErr w:type="spellEnd"/>
            <w:r w:rsidRPr="00AA34BE">
              <w:rPr>
                <w:rFonts w:eastAsia="Times New Roman" w:cs="Arial"/>
                <w:color w:val="000000" w:themeColor="text1"/>
                <w:spacing w:val="0"/>
                <w:sz w:val="20"/>
                <w:szCs w:val="20"/>
                <w:lang w:eastAsia="bg-BG"/>
              </w:rPr>
              <w:t xml:space="preserve"> (</w:t>
            </w:r>
            <w:proofErr w:type="spellStart"/>
            <w:r w:rsidRPr="00AA34BE">
              <w:rPr>
                <w:rFonts w:eastAsia="Times New Roman" w:cs="Arial"/>
                <w:color w:val="000000" w:themeColor="text1"/>
                <w:spacing w:val="0"/>
                <w:sz w:val="20"/>
                <w:szCs w:val="20"/>
                <w:lang w:eastAsia="bg-BG"/>
              </w:rPr>
              <w:t>ел</w:t>
            </w:r>
            <w:proofErr w:type="spellEnd"/>
            <w:r w:rsidRPr="00AA34BE">
              <w:rPr>
                <w:rFonts w:eastAsia="Times New Roman" w:cs="Arial"/>
                <w:color w:val="000000" w:themeColor="text1"/>
                <w:spacing w:val="0"/>
                <w:sz w:val="20"/>
                <w:szCs w:val="20"/>
                <w:lang w:eastAsia="bg-BG"/>
              </w:rPr>
              <w:t>)</w:t>
            </w:r>
          </w:p>
        </w:tc>
        <w:tc>
          <w:tcPr>
            <w:tcW w:w="847" w:type="dxa"/>
            <w:tcBorders>
              <w:top w:val="nil"/>
              <w:left w:val="nil"/>
              <w:bottom w:val="single" w:sz="4" w:space="0" w:color="auto"/>
              <w:right w:val="single" w:sz="4" w:space="0" w:color="auto"/>
            </w:tcBorders>
            <w:shd w:val="clear" w:color="000000" w:fill="FFFFFF"/>
            <w:noWrap/>
            <w:vAlign w:val="center"/>
            <w:hideMark/>
          </w:tcPr>
          <w:p w14:paraId="0C077975" w14:textId="77777777" w:rsidR="00D923BB" w:rsidRPr="00AA34BE" w:rsidRDefault="00D923BB" w:rsidP="006240A3">
            <w:pPr>
              <w:spacing w:line="240" w:lineRule="auto"/>
              <w:jc w:val="center"/>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MWh</w:t>
            </w:r>
          </w:p>
        </w:tc>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15CB2418" w14:textId="52626D5C" w:rsidR="00D923BB" w:rsidRPr="00AA34BE" w:rsidRDefault="005404EA" w:rsidP="006240A3">
            <w:pPr>
              <w:spacing w:line="240" w:lineRule="auto"/>
              <w:jc w:val="center"/>
              <w:rPr>
                <w:rFonts w:eastAsia="Times New Roman" w:cs="Arial"/>
                <w:color w:val="000000" w:themeColor="text1"/>
                <w:spacing w:val="0"/>
                <w:sz w:val="20"/>
                <w:szCs w:val="20"/>
                <w:lang w:eastAsia="bg-BG"/>
              </w:rPr>
            </w:pPr>
            <w:r>
              <w:rPr>
                <w:rFonts w:cs="Arial"/>
                <w:color w:val="000000" w:themeColor="text1"/>
                <w:sz w:val="20"/>
                <w:szCs w:val="20"/>
                <w:lang w:val="en-US"/>
              </w:rPr>
              <w:t>x xxx</w:t>
            </w:r>
          </w:p>
        </w:tc>
        <w:tc>
          <w:tcPr>
            <w:tcW w:w="1880" w:type="dxa"/>
            <w:tcBorders>
              <w:top w:val="nil"/>
              <w:left w:val="nil"/>
              <w:bottom w:val="single" w:sz="4" w:space="0" w:color="auto"/>
              <w:right w:val="single" w:sz="4" w:space="0" w:color="auto"/>
            </w:tcBorders>
            <w:shd w:val="clear" w:color="000000" w:fill="FFFFFF"/>
            <w:noWrap/>
            <w:vAlign w:val="center"/>
            <w:hideMark/>
          </w:tcPr>
          <w:p w14:paraId="2D34751A" w14:textId="17BBE53A" w:rsidR="00D923BB" w:rsidRPr="00AA34BE" w:rsidRDefault="005404EA" w:rsidP="006240A3">
            <w:pPr>
              <w:spacing w:line="240" w:lineRule="auto"/>
              <w:jc w:val="center"/>
              <w:rPr>
                <w:rFonts w:eastAsia="Times New Roman" w:cs="Arial"/>
                <w:color w:val="000000" w:themeColor="text1"/>
                <w:spacing w:val="0"/>
                <w:sz w:val="20"/>
                <w:szCs w:val="20"/>
                <w:lang w:eastAsia="bg-BG"/>
              </w:rPr>
            </w:pPr>
            <w:r>
              <w:rPr>
                <w:rFonts w:cs="Arial"/>
                <w:color w:val="000000" w:themeColor="text1"/>
                <w:sz w:val="20"/>
                <w:szCs w:val="20"/>
                <w:lang w:val="en-US"/>
              </w:rPr>
              <w:t>x xxx</w:t>
            </w:r>
          </w:p>
        </w:tc>
      </w:tr>
      <w:tr w:rsidR="00AA34BE" w:rsidRPr="00AA34BE" w14:paraId="254D4542" w14:textId="77777777" w:rsidTr="006240A3">
        <w:trPr>
          <w:trHeight w:val="315"/>
          <w:jc w:val="center"/>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6D0465A0" w14:textId="77777777" w:rsidR="00D923BB" w:rsidRPr="00AA34BE" w:rsidRDefault="00D923BB" w:rsidP="006240A3">
            <w:pPr>
              <w:spacing w:line="240" w:lineRule="auto"/>
              <w:jc w:val="right"/>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топлинна енергия</w:t>
            </w:r>
          </w:p>
        </w:tc>
        <w:tc>
          <w:tcPr>
            <w:tcW w:w="760" w:type="dxa"/>
            <w:tcBorders>
              <w:top w:val="nil"/>
              <w:left w:val="nil"/>
              <w:bottom w:val="single" w:sz="4" w:space="0" w:color="auto"/>
              <w:right w:val="single" w:sz="4" w:space="0" w:color="auto"/>
            </w:tcBorders>
            <w:shd w:val="clear" w:color="auto" w:fill="auto"/>
            <w:noWrap/>
            <w:vAlign w:val="center"/>
            <w:hideMark/>
          </w:tcPr>
          <w:p w14:paraId="5CBB9526" w14:textId="77777777" w:rsidR="00D923BB" w:rsidRPr="00AA34BE" w:rsidRDefault="00D923BB" w:rsidP="006240A3">
            <w:pPr>
              <w:spacing w:line="240" w:lineRule="auto"/>
              <w:jc w:val="center"/>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 xml:space="preserve">Е </w:t>
            </w:r>
            <w:proofErr w:type="spellStart"/>
            <w:r w:rsidRPr="00AA34BE">
              <w:rPr>
                <w:rFonts w:eastAsia="Times New Roman" w:cs="Arial"/>
                <w:color w:val="000000" w:themeColor="text1"/>
                <w:spacing w:val="0"/>
                <w:sz w:val="20"/>
                <w:szCs w:val="20"/>
                <w:lang w:eastAsia="bg-BG"/>
              </w:rPr>
              <w:t>сн</w:t>
            </w:r>
            <w:proofErr w:type="spellEnd"/>
            <w:r w:rsidRPr="00AA34BE">
              <w:rPr>
                <w:rFonts w:eastAsia="Times New Roman" w:cs="Arial"/>
                <w:color w:val="000000" w:themeColor="text1"/>
                <w:spacing w:val="0"/>
                <w:sz w:val="20"/>
                <w:szCs w:val="20"/>
                <w:lang w:eastAsia="bg-BG"/>
              </w:rPr>
              <w:t>(т)</w:t>
            </w:r>
          </w:p>
        </w:tc>
        <w:tc>
          <w:tcPr>
            <w:tcW w:w="847" w:type="dxa"/>
            <w:tcBorders>
              <w:top w:val="nil"/>
              <w:left w:val="nil"/>
              <w:bottom w:val="single" w:sz="4" w:space="0" w:color="auto"/>
              <w:right w:val="single" w:sz="4" w:space="0" w:color="auto"/>
            </w:tcBorders>
            <w:shd w:val="clear" w:color="000000" w:fill="FFFFFF"/>
            <w:noWrap/>
            <w:vAlign w:val="center"/>
            <w:hideMark/>
          </w:tcPr>
          <w:p w14:paraId="2355AD8C" w14:textId="77777777" w:rsidR="00D923BB" w:rsidRPr="00AA34BE" w:rsidRDefault="00D923BB" w:rsidP="006240A3">
            <w:pPr>
              <w:spacing w:line="240" w:lineRule="auto"/>
              <w:jc w:val="center"/>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MWh</w:t>
            </w:r>
          </w:p>
        </w:tc>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28EF8610" w14:textId="54DE0774" w:rsidR="00D923BB" w:rsidRPr="00AA34BE" w:rsidRDefault="005404EA" w:rsidP="006240A3">
            <w:pPr>
              <w:spacing w:line="240" w:lineRule="auto"/>
              <w:jc w:val="center"/>
              <w:rPr>
                <w:rFonts w:eastAsia="Times New Roman" w:cs="Arial"/>
                <w:color w:val="000000" w:themeColor="text1"/>
                <w:spacing w:val="0"/>
                <w:sz w:val="20"/>
                <w:szCs w:val="20"/>
                <w:lang w:eastAsia="bg-BG"/>
              </w:rPr>
            </w:pPr>
            <w:r>
              <w:rPr>
                <w:rFonts w:cs="Arial"/>
                <w:color w:val="000000" w:themeColor="text1"/>
                <w:sz w:val="20"/>
                <w:szCs w:val="20"/>
                <w:lang w:val="en-US"/>
              </w:rPr>
              <w:t>x xxx</w:t>
            </w:r>
          </w:p>
        </w:tc>
        <w:tc>
          <w:tcPr>
            <w:tcW w:w="1880" w:type="dxa"/>
            <w:tcBorders>
              <w:top w:val="nil"/>
              <w:left w:val="nil"/>
              <w:bottom w:val="single" w:sz="4" w:space="0" w:color="auto"/>
              <w:right w:val="single" w:sz="4" w:space="0" w:color="auto"/>
            </w:tcBorders>
            <w:shd w:val="clear" w:color="000000" w:fill="FFFFFF"/>
            <w:noWrap/>
            <w:vAlign w:val="center"/>
            <w:hideMark/>
          </w:tcPr>
          <w:p w14:paraId="07F6E21E" w14:textId="381540DE" w:rsidR="00D923BB" w:rsidRPr="00AA34BE" w:rsidRDefault="005404EA" w:rsidP="006240A3">
            <w:pPr>
              <w:spacing w:line="240" w:lineRule="auto"/>
              <w:jc w:val="center"/>
              <w:rPr>
                <w:rFonts w:eastAsia="Times New Roman" w:cs="Arial"/>
                <w:color w:val="000000" w:themeColor="text1"/>
                <w:spacing w:val="0"/>
                <w:sz w:val="20"/>
                <w:szCs w:val="20"/>
                <w:lang w:eastAsia="bg-BG"/>
              </w:rPr>
            </w:pPr>
            <w:r>
              <w:rPr>
                <w:rFonts w:cs="Arial"/>
                <w:color w:val="000000" w:themeColor="text1"/>
                <w:sz w:val="20"/>
                <w:szCs w:val="20"/>
                <w:lang w:val="en-US"/>
              </w:rPr>
              <w:t>x xxx</w:t>
            </w:r>
          </w:p>
        </w:tc>
      </w:tr>
      <w:tr w:rsidR="00D923BB" w:rsidRPr="00AA34BE" w14:paraId="1F9A2F06" w14:textId="77777777" w:rsidTr="006240A3">
        <w:trPr>
          <w:trHeight w:val="270"/>
          <w:jc w:val="center"/>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2066BCD6" w14:textId="77777777" w:rsidR="00D923BB" w:rsidRPr="00AA34BE" w:rsidRDefault="00D923BB" w:rsidP="006240A3">
            <w:pPr>
              <w:spacing w:line="240" w:lineRule="auto"/>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Електрическа енергия за собствени нужди</w:t>
            </w:r>
          </w:p>
        </w:tc>
        <w:tc>
          <w:tcPr>
            <w:tcW w:w="760" w:type="dxa"/>
            <w:tcBorders>
              <w:top w:val="nil"/>
              <w:left w:val="nil"/>
              <w:bottom w:val="single" w:sz="4" w:space="0" w:color="auto"/>
              <w:right w:val="single" w:sz="4" w:space="0" w:color="auto"/>
            </w:tcBorders>
            <w:shd w:val="clear" w:color="auto" w:fill="auto"/>
            <w:noWrap/>
            <w:vAlign w:val="center"/>
            <w:hideMark/>
          </w:tcPr>
          <w:p w14:paraId="206718A3" w14:textId="77777777" w:rsidR="00D923BB" w:rsidRPr="00AA34BE" w:rsidRDefault="00D923BB" w:rsidP="006240A3">
            <w:pPr>
              <w:spacing w:line="240" w:lineRule="auto"/>
              <w:jc w:val="center"/>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 xml:space="preserve">Е </w:t>
            </w:r>
            <w:proofErr w:type="spellStart"/>
            <w:r w:rsidRPr="00AA34BE">
              <w:rPr>
                <w:rFonts w:eastAsia="Times New Roman" w:cs="Arial"/>
                <w:color w:val="000000" w:themeColor="text1"/>
                <w:spacing w:val="0"/>
                <w:sz w:val="20"/>
                <w:szCs w:val="20"/>
                <w:lang w:eastAsia="bg-BG"/>
              </w:rPr>
              <w:t>сн</w:t>
            </w:r>
            <w:proofErr w:type="spellEnd"/>
          </w:p>
        </w:tc>
        <w:tc>
          <w:tcPr>
            <w:tcW w:w="847" w:type="dxa"/>
            <w:tcBorders>
              <w:top w:val="nil"/>
              <w:left w:val="nil"/>
              <w:bottom w:val="single" w:sz="4" w:space="0" w:color="auto"/>
              <w:right w:val="single" w:sz="4" w:space="0" w:color="auto"/>
            </w:tcBorders>
            <w:shd w:val="clear" w:color="auto" w:fill="auto"/>
            <w:noWrap/>
            <w:vAlign w:val="center"/>
            <w:hideMark/>
          </w:tcPr>
          <w:p w14:paraId="2E28F637" w14:textId="77777777" w:rsidR="00D923BB" w:rsidRPr="00AA34BE" w:rsidRDefault="00D923BB" w:rsidP="006240A3">
            <w:pPr>
              <w:spacing w:line="240" w:lineRule="auto"/>
              <w:jc w:val="center"/>
              <w:rPr>
                <w:rFonts w:eastAsia="Times New Roman" w:cs="Arial"/>
                <w:color w:val="000000" w:themeColor="text1"/>
                <w:spacing w:val="0"/>
                <w:sz w:val="20"/>
                <w:szCs w:val="20"/>
                <w:lang w:eastAsia="bg-BG"/>
              </w:rPr>
            </w:pPr>
            <w:r w:rsidRPr="00AA34BE">
              <w:rPr>
                <w:rFonts w:eastAsia="Times New Roman" w:cs="Arial"/>
                <w:color w:val="000000" w:themeColor="text1"/>
                <w:spacing w:val="0"/>
                <w:sz w:val="20"/>
                <w:szCs w:val="20"/>
                <w:lang w:eastAsia="bg-BG"/>
              </w:rPr>
              <w:t>%</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47A5D04" w14:textId="22C621F9" w:rsidR="00D923BB" w:rsidRPr="00AA34BE" w:rsidRDefault="005404EA" w:rsidP="006240A3">
            <w:pPr>
              <w:spacing w:line="240" w:lineRule="auto"/>
              <w:jc w:val="center"/>
              <w:rPr>
                <w:rFonts w:eastAsia="Times New Roman" w:cs="Arial"/>
                <w:color w:val="000000" w:themeColor="text1"/>
                <w:spacing w:val="0"/>
                <w:sz w:val="20"/>
                <w:szCs w:val="20"/>
                <w:lang w:eastAsia="bg-BG"/>
              </w:rPr>
            </w:pPr>
            <w:proofErr w:type="spellStart"/>
            <w:r>
              <w:rPr>
                <w:rFonts w:cs="Arial"/>
                <w:color w:val="000000" w:themeColor="text1"/>
                <w:sz w:val="20"/>
                <w:szCs w:val="20"/>
                <w:lang w:val="en-US"/>
              </w:rPr>
              <w:t>x.xx</w:t>
            </w:r>
            <w:proofErr w:type="spellEnd"/>
            <w:r w:rsidR="00D923BB" w:rsidRPr="00AA34BE">
              <w:rPr>
                <w:rFonts w:cs="Arial"/>
                <w:color w:val="000000" w:themeColor="text1"/>
                <w:sz w:val="20"/>
                <w:szCs w:val="20"/>
              </w:rPr>
              <w:t>%</w:t>
            </w:r>
          </w:p>
        </w:tc>
        <w:tc>
          <w:tcPr>
            <w:tcW w:w="1880" w:type="dxa"/>
            <w:tcBorders>
              <w:top w:val="nil"/>
              <w:left w:val="nil"/>
              <w:bottom w:val="single" w:sz="4" w:space="0" w:color="auto"/>
              <w:right w:val="single" w:sz="4" w:space="0" w:color="auto"/>
            </w:tcBorders>
            <w:shd w:val="clear" w:color="auto" w:fill="auto"/>
            <w:noWrap/>
            <w:vAlign w:val="center"/>
            <w:hideMark/>
          </w:tcPr>
          <w:p w14:paraId="154F55C5" w14:textId="35F56199" w:rsidR="00D923BB" w:rsidRPr="00AA34BE" w:rsidRDefault="005404EA" w:rsidP="006240A3">
            <w:pPr>
              <w:spacing w:line="240" w:lineRule="auto"/>
              <w:jc w:val="center"/>
              <w:rPr>
                <w:rFonts w:eastAsia="Times New Roman" w:cs="Arial"/>
                <w:color w:val="000000" w:themeColor="text1"/>
                <w:spacing w:val="0"/>
                <w:sz w:val="20"/>
                <w:szCs w:val="20"/>
                <w:lang w:eastAsia="bg-BG"/>
              </w:rPr>
            </w:pPr>
            <w:proofErr w:type="spellStart"/>
            <w:r>
              <w:rPr>
                <w:rFonts w:cs="Arial"/>
                <w:color w:val="000000" w:themeColor="text1"/>
                <w:sz w:val="20"/>
                <w:szCs w:val="20"/>
                <w:lang w:val="en-US"/>
              </w:rPr>
              <w:t>x.xx</w:t>
            </w:r>
            <w:proofErr w:type="spellEnd"/>
            <w:r w:rsidRPr="00AA34BE">
              <w:rPr>
                <w:rFonts w:cs="Arial"/>
                <w:color w:val="000000" w:themeColor="text1"/>
                <w:sz w:val="20"/>
                <w:szCs w:val="20"/>
              </w:rPr>
              <w:t>%</w:t>
            </w:r>
          </w:p>
        </w:tc>
      </w:tr>
    </w:tbl>
    <w:p w14:paraId="790AC574" w14:textId="77777777" w:rsidR="00D923BB" w:rsidRPr="00AA34BE" w:rsidRDefault="00D923BB" w:rsidP="00D923BB">
      <w:pPr>
        <w:ind w:left="709"/>
        <w:jc w:val="both"/>
        <w:rPr>
          <w:rFonts w:cs="Arial"/>
          <w:bCs/>
          <w:color w:val="000000" w:themeColor="text1"/>
        </w:rPr>
      </w:pPr>
    </w:p>
    <w:p w14:paraId="2D45EFE6" w14:textId="330F7CD7" w:rsidR="00D923BB" w:rsidRPr="00AA34BE" w:rsidRDefault="00D923BB" w:rsidP="00D923BB">
      <w:pPr>
        <w:ind w:left="709"/>
        <w:jc w:val="both"/>
        <w:rPr>
          <w:rFonts w:cs="Arial"/>
          <w:bCs/>
          <w:color w:val="000000" w:themeColor="text1"/>
        </w:rPr>
      </w:pPr>
      <w:r w:rsidRPr="00AA34BE">
        <w:rPr>
          <w:rFonts w:cs="Arial"/>
          <w:bCs/>
          <w:color w:val="000000" w:themeColor="text1"/>
        </w:rPr>
        <w:t xml:space="preserve">Потреблението на електрическа енергия за собствени нужди на Когенерацията за новия ценови период е прогнозирано в размер </w:t>
      </w:r>
      <w:r w:rsidR="005404EA">
        <w:rPr>
          <w:rFonts w:cs="Arial"/>
          <w:bCs/>
          <w:color w:val="000000" w:themeColor="text1"/>
          <w:lang w:val="en-US"/>
        </w:rPr>
        <w:t>x xxx</w:t>
      </w:r>
      <w:r w:rsidRPr="00AA34BE">
        <w:rPr>
          <w:rFonts w:cs="Arial"/>
          <w:bCs/>
          <w:color w:val="000000" w:themeColor="text1"/>
        </w:rPr>
        <w:t xml:space="preserve"> MWh, което е със </w:t>
      </w:r>
      <w:r w:rsidR="005404EA">
        <w:rPr>
          <w:rFonts w:cs="Arial"/>
          <w:bCs/>
          <w:color w:val="000000" w:themeColor="text1"/>
          <w:lang w:val="en-US"/>
        </w:rPr>
        <w:t>xxx</w:t>
      </w:r>
      <w:r w:rsidRPr="00AA34BE">
        <w:rPr>
          <w:rFonts w:cs="Arial"/>
          <w:bCs/>
          <w:color w:val="000000" w:themeColor="text1"/>
        </w:rPr>
        <w:t xml:space="preserve"> MWh повече от отчетеното през 2023 г. Завишението е за сметка на електропроизводството, тъй като се предвижда в някои от зимните месеци  по-високо електропроизводство.</w:t>
      </w:r>
    </w:p>
    <w:p w14:paraId="6F110EA9" w14:textId="77777777" w:rsidR="00D923BB" w:rsidRPr="00AA34BE" w:rsidRDefault="00D923BB" w:rsidP="00D923BB">
      <w:pPr>
        <w:ind w:left="709"/>
        <w:jc w:val="both"/>
        <w:rPr>
          <w:rFonts w:cs="Arial"/>
          <w:bCs/>
          <w:color w:val="000000" w:themeColor="text1"/>
        </w:rPr>
      </w:pPr>
    </w:p>
    <w:p w14:paraId="7C6C6DDD" w14:textId="3ED19140" w:rsidR="00D923BB" w:rsidRPr="00AA34BE" w:rsidRDefault="00D923BB" w:rsidP="00D923BB">
      <w:pPr>
        <w:ind w:left="709"/>
        <w:jc w:val="both"/>
        <w:rPr>
          <w:rFonts w:cs="Arial"/>
          <w:bCs/>
          <w:color w:val="000000" w:themeColor="text1"/>
        </w:rPr>
      </w:pPr>
      <w:r w:rsidRPr="00AA34BE">
        <w:rPr>
          <w:rFonts w:cs="Arial"/>
          <w:bCs/>
          <w:color w:val="000000" w:themeColor="text1"/>
        </w:rPr>
        <w:t xml:space="preserve">Прогнозата на електрическа енергия за собствени нужди за производство на топлинна енергия е незначително намалена, със </w:t>
      </w:r>
      <w:r w:rsidR="005404EA">
        <w:rPr>
          <w:rFonts w:cs="Arial"/>
          <w:bCs/>
          <w:color w:val="000000" w:themeColor="text1"/>
          <w:lang w:val="en-US"/>
        </w:rPr>
        <w:t>xx</w:t>
      </w:r>
      <w:r w:rsidRPr="00AA34BE">
        <w:rPr>
          <w:rFonts w:cs="Arial"/>
          <w:bCs/>
          <w:color w:val="000000" w:themeColor="text1"/>
        </w:rPr>
        <w:t xml:space="preserve"> MWh, дължащо се на по-различното натоварване  на Когенерацията спрямо 2023 г.</w:t>
      </w:r>
    </w:p>
    <w:p w14:paraId="66BFBCE1" w14:textId="77777777" w:rsidR="00D923BB" w:rsidRPr="00AA34BE" w:rsidRDefault="00D923BB" w:rsidP="00D923BB">
      <w:pPr>
        <w:ind w:left="709"/>
        <w:jc w:val="both"/>
        <w:rPr>
          <w:rFonts w:cs="Arial"/>
          <w:bCs/>
          <w:color w:val="000000" w:themeColor="text1"/>
        </w:rPr>
      </w:pPr>
    </w:p>
    <w:p w14:paraId="64BDFED8" w14:textId="77777777" w:rsidR="00D923BB" w:rsidRPr="00AA34BE" w:rsidRDefault="00D923BB" w:rsidP="00D923BB">
      <w:pPr>
        <w:ind w:left="709"/>
        <w:jc w:val="both"/>
        <w:rPr>
          <w:rFonts w:cs="Arial"/>
          <w:bCs/>
          <w:color w:val="000000" w:themeColor="text1"/>
        </w:rPr>
      </w:pPr>
      <w:r w:rsidRPr="00AA34BE">
        <w:rPr>
          <w:rFonts w:cs="Arial"/>
          <w:bCs/>
          <w:color w:val="000000" w:themeColor="text1"/>
        </w:rPr>
        <w:t>За инсталация Когенерация, за ценовия период се предвижда един по-продължителен престой за ремонт през месец Май 2025 г.</w:t>
      </w:r>
    </w:p>
    <w:p w14:paraId="05EFDC2C" w14:textId="77777777" w:rsidR="00634D3C" w:rsidRPr="00A96A50" w:rsidRDefault="00634D3C" w:rsidP="00432809">
      <w:pPr>
        <w:rPr>
          <w:color w:val="000000" w:themeColor="text1"/>
        </w:rPr>
      </w:pPr>
    </w:p>
    <w:p w14:paraId="5967B17F" w14:textId="77777777" w:rsidR="009242AD" w:rsidRPr="00A96A50" w:rsidRDefault="009242AD" w:rsidP="00226ECF">
      <w:pPr>
        <w:pStyle w:val="Heading2"/>
        <w:keepLines w:val="0"/>
        <w:numPr>
          <w:ilvl w:val="1"/>
          <w:numId w:val="12"/>
        </w:numPr>
        <w:tabs>
          <w:tab w:val="clear" w:pos="567"/>
        </w:tabs>
        <w:spacing w:before="240" w:line="240" w:lineRule="auto"/>
        <w:rPr>
          <w:color w:val="000000" w:themeColor="text1"/>
        </w:rPr>
      </w:pPr>
      <w:bookmarkStart w:id="11" w:name="_Hlk114211741"/>
      <w:r w:rsidRPr="00A96A50">
        <w:rPr>
          <w:color w:val="000000" w:themeColor="text1"/>
        </w:rPr>
        <w:lastRenderedPageBreak/>
        <w:t xml:space="preserve">Регулаторна база на активите (РБА)  </w:t>
      </w:r>
    </w:p>
    <w:bookmarkEnd w:id="11"/>
    <w:p w14:paraId="0396D837" w14:textId="77777777" w:rsidR="009242AD" w:rsidRPr="00A96A50" w:rsidRDefault="009242AD" w:rsidP="00B738B4">
      <w:pPr>
        <w:ind w:left="709"/>
        <w:rPr>
          <w:color w:val="000000" w:themeColor="text1"/>
        </w:rPr>
      </w:pPr>
      <w:r w:rsidRPr="00A96A50">
        <w:rPr>
          <w:color w:val="000000" w:themeColor="text1"/>
        </w:rPr>
        <w:t>Ст</w:t>
      </w:r>
      <w:bookmarkStart w:id="12" w:name="_Hlk114211810"/>
      <w:r w:rsidRPr="00A96A50">
        <w:rPr>
          <w:color w:val="000000" w:themeColor="text1"/>
        </w:rPr>
        <w:t>ойността на дълготрайните активи, които се използват и са свързани пряко с дейността по лицензията е калкулирана съгласно чл. 9, ал. 1 от НРЦТЕ и включва следните елементи</w:t>
      </w:r>
    </w:p>
    <w:p w14:paraId="4CF170F3" w14:textId="77777777" w:rsidR="009242AD" w:rsidRPr="00A96A50" w:rsidRDefault="009242AD" w:rsidP="00B738B4">
      <w:pPr>
        <w:ind w:left="709"/>
        <w:rPr>
          <w:color w:val="000000" w:themeColor="text1"/>
        </w:rPr>
      </w:pPr>
      <w:r w:rsidRPr="00A96A50">
        <w:rPr>
          <w:color w:val="000000" w:themeColor="text1"/>
        </w:rPr>
        <w:t>РБА=А–Ф–АМ +ОК+И,</w:t>
      </w:r>
    </w:p>
    <w:p w14:paraId="6586F23E" w14:textId="77777777" w:rsidR="009242AD" w:rsidRPr="00A96A50" w:rsidRDefault="009242AD" w:rsidP="00B738B4">
      <w:pPr>
        <w:ind w:left="709"/>
        <w:rPr>
          <w:color w:val="000000" w:themeColor="text1"/>
        </w:rPr>
      </w:pPr>
      <w:r w:rsidRPr="00A96A50">
        <w:rPr>
          <w:color w:val="000000" w:themeColor="text1"/>
        </w:rPr>
        <w:t>където:</w:t>
      </w:r>
    </w:p>
    <w:p w14:paraId="050817CF" w14:textId="77777777" w:rsidR="009242AD" w:rsidRPr="00A96A50" w:rsidRDefault="009242AD" w:rsidP="00B738B4">
      <w:pPr>
        <w:ind w:left="709"/>
        <w:rPr>
          <w:color w:val="000000" w:themeColor="text1"/>
        </w:rPr>
      </w:pPr>
      <w:r w:rsidRPr="00A96A50">
        <w:rPr>
          <w:color w:val="000000" w:themeColor="text1"/>
        </w:rPr>
        <w:t>РБА е регулаторна база на активите;</w:t>
      </w:r>
    </w:p>
    <w:p w14:paraId="2286072A" w14:textId="77777777" w:rsidR="009242AD" w:rsidRPr="00A96A50" w:rsidRDefault="009242AD" w:rsidP="00B738B4">
      <w:pPr>
        <w:ind w:left="709"/>
        <w:rPr>
          <w:color w:val="000000" w:themeColor="text1"/>
        </w:rPr>
      </w:pPr>
      <w:r w:rsidRPr="00A96A50">
        <w:rPr>
          <w:color w:val="000000" w:themeColor="text1"/>
        </w:rPr>
        <w:t>А – призната стойност на активите, които се използват и имат полезен живот, определена на базата на цената на придобиването им;</w:t>
      </w:r>
    </w:p>
    <w:p w14:paraId="0ACD9B1F" w14:textId="77777777" w:rsidR="009242AD" w:rsidRPr="00A96A50" w:rsidRDefault="009242AD" w:rsidP="00B738B4">
      <w:pPr>
        <w:ind w:left="709"/>
        <w:rPr>
          <w:color w:val="000000" w:themeColor="text1"/>
        </w:rPr>
      </w:pPr>
      <w:r w:rsidRPr="00A96A50">
        <w:rPr>
          <w:color w:val="000000" w:themeColor="text1"/>
        </w:rPr>
        <w:t xml:space="preserve">Ф – стойност на активите, които са придобити чрез финансиране или по безвъзмезден начин, в т. ч. по </w:t>
      </w:r>
      <w:proofErr w:type="spellStart"/>
      <w:r w:rsidRPr="00A96A50">
        <w:rPr>
          <w:color w:val="000000" w:themeColor="text1"/>
        </w:rPr>
        <w:t>грантови</w:t>
      </w:r>
      <w:proofErr w:type="spellEnd"/>
      <w:r w:rsidRPr="00A96A50">
        <w:rPr>
          <w:color w:val="000000" w:themeColor="text1"/>
        </w:rPr>
        <w:t xml:space="preserve"> схеми, дарения, помощи, от клиенти и др.;</w:t>
      </w:r>
    </w:p>
    <w:p w14:paraId="0CC4A4F8" w14:textId="77777777" w:rsidR="009242AD" w:rsidRPr="00A96A50" w:rsidRDefault="009242AD" w:rsidP="00B738B4">
      <w:pPr>
        <w:ind w:left="709"/>
        <w:rPr>
          <w:color w:val="000000" w:themeColor="text1"/>
          <w:lang w:val="en-US"/>
        </w:rPr>
      </w:pPr>
      <w:r w:rsidRPr="00A96A50">
        <w:rPr>
          <w:color w:val="000000" w:themeColor="text1"/>
        </w:rPr>
        <w:t>АМ – амортизация, определена за регулаторни цели за периода на използване на възмездно придобитите активи за извършване на лицензионната дейност и изчислена чрез прилагане на линеен метод;</w:t>
      </w:r>
    </w:p>
    <w:p w14:paraId="6EF9741D" w14:textId="77777777" w:rsidR="009242AD" w:rsidRPr="00A96A50" w:rsidRDefault="009242AD" w:rsidP="00B738B4">
      <w:pPr>
        <w:ind w:left="709"/>
        <w:rPr>
          <w:color w:val="000000" w:themeColor="text1"/>
        </w:rPr>
      </w:pPr>
      <w:r w:rsidRPr="00A96A50">
        <w:rPr>
          <w:color w:val="000000" w:themeColor="text1"/>
        </w:rPr>
        <w:t>ОК – необходим оборотен капитал;</w:t>
      </w:r>
    </w:p>
    <w:p w14:paraId="72E87B50" w14:textId="77777777" w:rsidR="009242AD" w:rsidRPr="00A96A50" w:rsidRDefault="009242AD" w:rsidP="00B738B4">
      <w:pPr>
        <w:ind w:left="709"/>
        <w:rPr>
          <w:color w:val="000000" w:themeColor="text1"/>
        </w:rPr>
      </w:pPr>
      <w:r w:rsidRPr="00A96A50">
        <w:rPr>
          <w:color w:val="000000" w:themeColor="text1"/>
        </w:rPr>
        <w:t>И – прогнозен размер на инвестициите, одобрени от комисията, които ще бъдат извършени през регулаторния период, в случаите на регулиране по чл. 3, ал. 2, т. 2.</w:t>
      </w:r>
    </w:p>
    <w:p w14:paraId="5BCF92CA" w14:textId="77777777" w:rsidR="009242AD" w:rsidRPr="00A96A50" w:rsidRDefault="009242AD" w:rsidP="00B738B4">
      <w:pPr>
        <w:ind w:left="709"/>
        <w:rPr>
          <w:color w:val="000000" w:themeColor="text1"/>
        </w:rPr>
      </w:pPr>
    </w:p>
    <w:p w14:paraId="453F2A6C" w14:textId="77777777" w:rsidR="009242AD" w:rsidRPr="00A96A50" w:rsidRDefault="009242AD" w:rsidP="00B738B4">
      <w:pPr>
        <w:ind w:left="709"/>
        <w:rPr>
          <w:color w:val="000000" w:themeColor="text1"/>
        </w:rPr>
      </w:pPr>
      <w:r w:rsidRPr="00A96A50">
        <w:rPr>
          <w:color w:val="000000" w:themeColor="text1"/>
        </w:rPr>
        <w:t>Като следствие от гореизложеното балансовата стойност на активите следва да се изчисли, като резултат от А – призната стойност на активите и АМ – амортизация,</w:t>
      </w:r>
    </w:p>
    <w:p w14:paraId="234B3F50" w14:textId="77777777" w:rsidR="009242AD" w:rsidRPr="00A96A50" w:rsidRDefault="009242AD" w:rsidP="00B738B4">
      <w:pPr>
        <w:ind w:left="709"/>
        <w:rPr>
          <w:color w:val="000000" w:themeColor="text1"/>
        </w:rPr>
      </w:pPr>
    </w:p>
    <w:p w14:paraId="18C89DE2" w14:textId="77777777" w:rsidR="009242AD" w:rsidRPr="00A96A50" w:rsidRDefault="009242AD" w:rsidP="00B738B4">
      <w:pPr>
        <w:ind w:left="709"/>
        <w:rPr>
          <w:color w:val="000000" w:themeColor="text1"/>
        </w:rPr>
      </w:pPr>
      <w:r w:rsidRPr="00A96A50">
        <w:rPr>
          <w:color w:val="000000" w:themeColor="text1"/>
        </w:rPr>
        <w:t>В допълнение, съгласно глава 2, раздел II, чл. 26 от „Указания за образуване на цените на топлинната енергия и на електрическата енергия от  комбинирано производство при регулиране чрез метода „норма на възвръщаемост на капитала” призната стойност на активите (А), е признатата от комисията отчетна стойност на активите към края на базисната година, които се използват и са свързани пряко с дейностите. За регулаторния период, признатата стойност на активите не включва преоценка на дълготрайни (нетекущи) активи, извършена съгласно Закона за счетоводството и Международните стандарти за финансова отчетност.</w:t>
      </w:r>
    </w:p>
    <w:p w14:paraId="55741690" w14:textId="62B35CF4" w:rsidR="002E4A69" w:rsidRPr="00A96A50" w:rsidRDefault="002E4A69" w:rsidP="008A3CA0">
      <w:pPr>
        <w:pStyle w:val="Heading3"/>
        <w:numPr>
          <w:ilvl w:val="2"/>
          <w:numId w:val="8"/>
        </w:numPr>
        <w:tabs>
          <w:tab w:val="clear" w:pos="709"/>
        </w:tabs>
        <w:spacing w:before="240" w:line="240" w:lineRule="auto"/>
        <w:rPr>
          <w:b/>
          <w:color w:val="000000" w:themeColor="text1"/>
          <w:sz w:val="20"/>
        </w:rPr>
      </w:pPr>
      <w:bookmarkStart w:id="13" w:name="_Hlk114212157"/>
      <w:bookmarkEnd w:id="12"/>
      <w:r w:rsidRPr="00A96A50">
        <w:rPr>
          <w:b/>
          <w:color w:val="000000" w:themeColor="text1"/>
          <w:sz w:val="20"/>
        </w:rPr>
        <w:t>Призната стойност на активите</w:t>
      </w:r>
    </w:p>
    <w:p w14:paraId="18285B24" w14:textId="5F78D48D" w:rsidR="009242AD" w:rsidRPr="00A96A50" w:rsidRDefault="009242AD" w:rsidP="00B738B4">
      <w:pPr>
        <w:ind w:left="709"/>
        <w:rPr>
          <w:color w:val="000000" w:themeColor="text1"/>
        </w:rPr>
      </w:pPr>
      <w:bookmarkStart w:id="14" w:name="_Hlk114211858"/>
      <w:bookmarkEnd w:id="13"/>
      <w:r w:rsidRPr="00A96A50">
        <w:rPr>
          <w:color w:val="000000" w:themeColor="text1"/>
        </w:rPr>
        <w:t>За целите на регулирането в съответствие с чл. 4, ал. 2 от НРЦТЕ дружеството води отделна счетоводна отчетност съгласно чл. 37 от ЗЕ</w:t>
      </w:r>
      <w:bookmarkEnd w:id="14"/>
    </w:p>
    <w:p w14:paraId="60EFE21F" w14:textId="17F79280" w:rsidR="008A3E93" w:rsidRPr="00A96A50" w:rsidRDefault="008A3E93" w:rsidP="00B738B4">
      <w:pPr>
        <w:ind w:left="709"/>
        <w:rPr>
          <w:color w:val="000000" w:themeColor="text1"/>
        </w:rPr>
      </w:pPr>
      <w:r w:rsidRPr="00A96A50">
        <w:rPr>
          <w:color w:val="000000" w:themeColor="text1"/>
        </w:rPr>
        <w:t>Активите в ценово заявление за ценови период 01.07.202</w:t>
      </w:r>
      <w:r w:rsidR="00974D98" w:rsidRPr="00A96A50">
        <w:rPr>
          <w:color w:val="000000" w:themeColor="text1"/>
          <w:lang w:val="en-US"/>
        </w:rPr>
        <w:t>4</w:t>
      </w:r>
      <w:r w:rsidRPr="00A96A50">
        <w:rPr>
          <w:color w:val="000000" w:themeColor="text1"/>
        </w:rPr>
        <w:t>-30.06.202</w:t>
      </w:r>
      <w:r w:rsidR="00974D98" w:rsidRPr="00A96A50">
        <w:rPr>
          <w:color w:val="000000" w:themeColor="text1"/>
          <w:lang w:val="en-US"/>
        </w:rPr>
        <w:t>5</w:t>
      </w:r>
      <w:r w:rsidRPr="00A96A50">
        <w:rPr>
          <w:color w:val="000000" w:themeColor="text1"/>
        </w:rPr>
        <w:t xml:space="preserve"> са базирани на одобрените с Ценово решение Ц-</w:t>
      </w:r>
      <w:r w:rsidR="00AC6F5A" w:rsidRPr="00A96A50">
        <w:rPr>
          <w:color w:val="000000" w:themeColor="text1"/>
        </w:rPr>
        <w:t>1</w:t>
      </w:r>
      <w:r w:rsidR="00974D98" w:rsidRPr="00A96A50">
        <w:rPr>
          <w:color w:val="000000" w:themeColor="text1"/>
          <w:lang w:val="en-US"/>
        </w:rPr>
        <w:t>2</w:t>
      </w:r>
      <w:r w:rsidR="00054CF1" w:rsidRPr="00A96A50">
        <w:rPr>
          <w:color w:val="000000" w:themeColor="text1"/>
        </w:rPr>
        <w:t>/01.07.202</w:t>
      </w:r>
      <w:r w:rsidR="00974D98" w:rsidRPr="00A96A50">
        <w:rPr>
          <w:color w:val="000000" w:themeColor="text1"/>
          <w:lang w:val="en-US"/>
        </w:rPr>
        <w:t>3</w:t>
      </w:r>
      <w:r w:rsidRPr="00A96A50">
        <w:rPr>
          <w:color w:val="000000" w:themeColor="text1"/>
        </w:rPr>
        <w:t>, като към тях са добавени придобитите за периода и са извадени отписаните активи и амортизационните отчисления.</w:t>
      </w:r>
    </w:p>
    <w:p w14:paraId="13A2C335" w14:textId="64D75B5B" w:rsidR="00AC6F5A" w:rsidRPr="00A96A50" w:rsidRDefault="00AC6F5A" w:rsidP="00B738B4">
      <w:pPr>
        <w:ind w:left="709"/>
        <w:rPr>
          <w:color w:val="000000" w:themeColor="text1"/>
        </w:rPr>
      </w:pPr>
    </w:p>
    <w:p w14:paraId="5F3D2947" w14:textId="12F63791" w:rsidR="009242AD" w:rsidRPr="00A96A50" w:rsidRDefault="005404EA" w:rsidP="00B738B4">
      <w:pPr>
        <w:ind w:left="709"/>
        <w:rPr>
          <w:color w:val="000000" w:themeColor="text1"/>
        </w:rPr>
      </w:pPr>
      <w:r w:rsidRPr="005404EA">
        <w:rPr>
          <w:noProof/>
        </w:rPr>
        <w:lastRenderedPageBreak/>
        <w:drawing>
          <wp:anchor distT="0" distB="0" distL="114300" distR="114300" simplePos="0" relativeHeight="251710464" behindDoc="0" locked="0" layoutInCell="1" allowOverlap="1" wp14:anchorId="609530F6" wp14:editId="07A164E2">
            <wp:simplePos x="0" y="0"/>
            <wp:positionH relativeFrom="column">
              <wp:posOffset>448752</wp:posOffset>
            </wp:positionH>
            <wp:positionV relativeFrom="paragraph">
              <wp:posOffset>-83</wp:posOffset>
            </wp:positionV>
            <wp:extent cx="5915660" cy="8038465"/>
            <wp:effectExtent l="0" t="0" r="8890" b="63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15660" cy="8038465"/>
                    </a:xfrm>
                    <a:prstGeom prst="rect">
                      <a:avLst/>
                    </a:prstGeom>
                    <a:noFill/>
                    <a:ln>
                      <a:noFill/>
                    </a:ln>
                  </pic:spPr>
                </pic:pic>
              </a:graphicData>
            </a:graphic>
          </wp:anchor>
        </w:drawing>
      </w:r>
    </w:p>
    <w:p w14:paraId="48656148" w14:textId="46FD6F1D" w:rsidR="009242AD" w:rsidRPr="00A96A50" w:rsidRDefault="009242AD" w:rsidP="00B738B4">
      <w:pPr>
        <w:ind w:left="709"/>
        <w:rPr>
          <w:color w:val="000000" w:themeColor="text1"/>
        </w:rPr>
      </w:pPr>
      <w:bookmarkStart w:id="15" w:name="_Hlk114211897"/>
      <w:r w:rsidRPr="00A96A50">
        <w:rPr>
          <w:color w:val="000000" w:themeColor="text1"/>
        </w:rPr>
        <w:t>Основни позиции са производствените централи (</w:t>
      </w:r>
      <w:r w:rsidR="00255B5F" w:rsidRPr="00A96A50">
        <w:rPr>
          <w:color w:val="000000" w:themeColor="text1"/>
        </w:rPr>
        <w:t>К</w:t>
      </w:r>
      <w:r w:rsidRPr="00A96A50">
        <w:rPr>
          <w:color w:val="000000" w:themeColor="text1"/>
        </w:rPr>
        <w:t xml:space="preserve">огенерационна централа, </w:t>
      </w:r>
      <w:r w:rsidR="00255B5F" w:rsidRPr="00A96A50">
        <w:rPr>
          <w:color w:val="000000" w:themeColor="text1"/>
        </w:rPr>
        <w:t xml:space="preserve">ОЦ </w:t>
      </w:r>
      <w:r w:rsidRPr="00A96A50">
        <w:rPr>
          <w:color w:val="000000" w:themeColor="text1"/>
        </w:rPr>
        <w:t>Север, ОЦ Юг) и топлопреносната мрежа с всички прилежащи и компоненти (тръбопроводи, абонатни станции, измервателни устройства).</w:t>
      </w:r>
    </w:p>
    <w:bookmarkEnd w:id="15"/>
    <w:p w14:paraId="7451F4D9" w14:textId="77777777" w:rsidR="009242AD" w:rsidRPr="00A96A50" w:rsidRDefault="009242AD" w:rsidP="00B738B4">
      <w:pPr>
        <w:ind w:left="709"/>
        <w:rPr>
          <w:color w:val="000000" w:themeColor="text1"/>
        </w:rPr>
      </w:pPr>
    </w:p>
    <w:p w14:paraId="072B260A" w14:textId="46DB274E" w:rsidR="009242AD" w:rsidRPr="00A96A50" w:rsidRDefault="009242AD" w:rsidP="00B738B4">
      <w:pPr>
        <w:ind w:left="709"/>
        <w:rPr>
          <w:color w:val="000000" w:themeColor="text1"/>
        </w:rPr>
      </w:pPr>
      <w:bookmarkStart w:id="16" w:name="_Hlk114211912"/>
      <w:r w:rsidRPr="00A96A50">
        <w:rPr>
          <w:color w:val="000000" w:themeColor="text1"/>
        </w:rPr>
        <w:t>Активите на производствен</w:t>
      </w:r>
      <w:r w:rsidR="00D010EC" w:rsidRPr="00A96A50">
        <w:rPr>
          <w:color w:val="000000" w:themeColor="text1"/>
          <w:lang w:val="en-US"/>
        </w:rPr>
        <w:t>a</w:t>
      </w:r>
      <w:r w:rsidRPr="00A96A50">
        <w:rPr>
          <w:color w:val="000000" w:themeColor="text1"/>
        </w:rPr>
        <w:t xml:space="preserve"> </w:t>
      </w:r>
      <w:r w:rsidR="00255B5F" w:rsidRPr="00A96A50">
        <w:rPr>
          <w:color w:val="000000" w:themeColor="text1"/>
        </w:rPr>
        <w:t>К</w:t>
      </w:r>
      <w:r w:rsidRPr="00A96A50">
        <w:rPr>
          <w:color w:val="000000" w:themeColor="text1"/>
        </w:rPr>
        <w:t>огенерационна централа са разпределени в групи според тяхното предназначение и функционалност спрямо това дали служат само за производство на електричество, само за производство на топлинна енергия или служат за производството и на двата продукта</w:t>
      </w:r>
      <w:bookmarkEnd w:id="16"/>
      <w:r w:rsidRPr="00A96A50">
        <w:rPr>
          <w:color w:val="000000" w:themeColor="text1"/>
        </w:rPr>
        <w:t xml:space="preserve">. </w:t>
      </w:r>
      <w:r w:rsidRPr="00A96A50">
        <w:rPr>
          <w:color w:val="000000" w:themeColor="text1"/>
        </w:rPr>
        <w:lastRenderedPageBreak/>
        <w:t>Стойността на активите за общо производство се представя в таблица 4 „РЕГУЛАТОРНА БАЗА НА АКТИВИТЕ ЗА ЕЛЕКТРИЧЕСКА И ТОПЛИННА ЕНЕРГИЯ” от Справка 2 – „РЕГУЛАТОРНА БАЗА НА АКТИВИТЕ ЗА ДРУЖЕСТВО”, като стойността им се разпределя между активите за производство на топлинна енергия и активите за производство на електрическа енергия с коефициента „Коефициент за разпределяне на горивото при комбинирано производство на електрическа и топлинна енергия в енергийната част на централата”. Коефициентът се калкулира на база постигнати ефективности за ел. и топлинна енергия и референтните стойности, определени на база Делегирания Регламент (ЕС) 2015/2402 от 12 октомври 2015 година.</w:t>
      </w:r>
    </w:p>
    <w:p w14:paraId="430474D9" w14:textId="4E306BC1" w:rsidR="00CD4AB9" w:rsidRPr="00A96A50" w:rsidRDefault="00386AE8" w:rsidP="0032766B">
      <w:pPr>
        <w:ind w:left="709"/>
        <w:rPr>
          <w:color w:val="000000" w:themeColor="text1"/>
        </w:rPr>
      </w:pPr>
      <w:bookmarkStart w:id="17" w:name="_Hlk114211927"/>
      <w:r w:rsidRPr="00A96A50">
        <w:rPr>
          <w:color w:val="000000" w:themeColor="text1"/>
        </w:rPr>
        <w:t xml:space="preserve">Водогрейните котли на площадките на ТЕЦ „Пловдив – Север“ </w:t>
      </w:r>
      <w:r w:rsidRPr="00A96A50">
        <w:rPr>
          <w:color w:val="000000" w:themeColor="text1"/>
          <w:lang w:val="en-US"/>
        </w:rPr>
        <w:t>(</w:t>
      </w:r>
      <w:r w:rsidRPr="00A96A50">
        <w:rPr>
          <w:color w:val="000000" w:themeColor="text1"/>
        </w:rPr>
        <w:t>3 броя</w:t>
      </w:r>
      <w:r w:rsidRPr="00A96A50">
        <w:rPr>
          <w:color w:val="000000" w:themeColor="text1"/>
          <w:lang w:val="en-US"/>
        </w:rPr>
        <w:t xml:space="preserve">) </w:t>
      </w:r>
      <w:r w:rsidRPr="00A96A50">
        <w:rPr>
          <w:color w:val="000000" w:themeColor="text1"/>
        </w:rPr>
        <w:t xml:space="preserve">и ОЦ „Пловдив Юг“ </w:t>
      </w:r>
      <w:r w:rsidRPr="00A96A50">
        <w:rPr>
          <w:color w:val="000000" w:themeColor="text1"/>
          <w:lang w:val="en-US"/>
        </w:rPr>
        <w:t xml:space="preserve">(2 </w:t>
      </w:r>
      <w:r w:rsidRPr="00A96A50">
        <w:rPr>
          <w:color w:val="000000" w:themeColor="text1"/>
        </w:rPr>
        <w:t xml:space="preserve">броя) </w:t>
      </w:r>
      <w:r w:rsidR="00CD4AB9" w:rsidRPr="00A96A50">
        <w:rPr>
          <w:color w:val="000000" w:themeColor="text1"/>
        </w:rPr>
        <w:t xml:space="preserve"> служат само за производство на топлинна енергия и стойността им е отнесена в частта за </w:t>
      </w:r>
      <w:r w:rsidR="006A3AFF" w:rsidRPr="00A96A50">
        <w:rPr>
          <w:color w:val="000000" w:themeColor="text1"/>
        </w:rPr>
        <w:t xml:space="preserve">топлинна енергия в </w:t>
      </w:r>
      <w:r w:rsidR="00CD4AB9" w:rsidRPr="00A96A50">
        <w:rPr>
          <w:color w:val="000000" w:themeColor="text1"/>
        </w:rPr>
        <w:t>разделно производство.</w:t>
      </w:r>
      <w:r w:rsidR="00F46066" w:rsidRPr="00A96A50">
        <w:rPr>
          <w:color w:val="000000" w:themeColor="text1"/>
        </w:rPr>
        <w:t xml:space="preserve"> </w:t>
      </w:r>
    </w:p>
    <w:p w14:paraId="5AD8F28E" w14:textId="24D72212" w:rsidR="009242AD" w:rsidRPr="00A96A50" w:rsidRDefault="009242AD" w:rsidP="00B738B4">
      <w:pPr>
        <w:ind w:left="709"/>
        <w:rPr>
          <w:color w:val="000000" w:themeColor="text1"/>
        </w:rPr>
      </w:pPr>
      <w:r w:rsidRPr="00A96A50">
        <w:rPr>
          <w:color w:val="000000" w:themeColor="text1"/>
        </w:rPr>
        <w:t>Стойността на активите свързани с топлопреносната мрежа и всички прилежащи и компоненти са отнесени към регулаторната база на активи свързани с преноса на топлинна енергия</w:t>
      </w:r>
      <w:bookmarkEnd w:id="17"/>
      <w:r w:rsidRPr="00A96A50">
        <w:rPr>
          <w:color w:val="000000" w:themeColor="text1"/>
        </w:rPr>
        <w:t xml:space="preserve">. </w:t>
      </w:r>
    </w:p>
    <w:p w14:paraId="4FDE177D" w14:textId="77777777" w:rsidR="009242AD" w:rsidRPr="00A96A50" w:rsidRDefault="009242AD" w:rsidP="00B738B4">
      <w:pPr>
        <w:ind w:left="709"/>
        <w:rPr>
          <w:color w:val="000000" w:themeColor="text1"/>
        </w:rPr>
      </w:pPr>
    </w:p>
    <w:p w14:paraId="1637F173" w14:textId="4AB551C0" w:rsidR="009242AD" w:rsidRPr="00A96A50" w:rsidRDefault="009242AD" w:rsidP="00B738B4">
      <w:pPr>
        <w:ind w:left="709"/>
        <w:rPr>
          <w:color w:val="000000" w:themeColor="text1"/>
        </w:rPr>
      </w:pPr>
      <w:bookmarkStart w:id="18" w:name="_Hlk114211949"/>
      <w:r w:rsidRPr="00A96A50">
        <w:rPr>
          <w:color w:val="000000" w:themeColor="text1"/>
        </w:rPr>
        <w:t xml:space="preserve">Други активи свързани с административната работа на дружеството (компютри, софтуер, принтери, бюра, офис оборудване и др.) се разпределят между активите за производство и активите за пренос </w:t>
      </w:r>
      <w:bookmarkEnd w:id="18"/>
      <w:r w:rsidRPr="00A96A50">
        <w:rPr>
          <w:color w:val="000000" w:themeColor="text1"/>
        </w:rPr>
        <w:t>на база коефициент получен според отработените от служителите на дружеството часове за 202</w:t>
      </w:r>
      <w:r w:rsidR="00F2456B" w:rsidRPr="00A96A50">
        <w:rPr>
          <w:color w:val="000000" w:themeColor="text1"/>
        </w:rPr>
        <w:t>2</w:t>
      </w:r>
      <w:r w:rsidR="00054CF1" w:rsidRPr="00A96A50">
        <w:rPr>
          <w:color w:val="000000" w:themeColor="text1"/>
        </w:rPr>
        <w:t xml:space="preserve"> </w:t>
      </w:r>
      <w:r w:rsidRPr="00A96A50">
        <w:rPr>
          <w:color w:val="000000" w:themeColor="text1"/>
        </w:rPr>
        <w:t>година съответно в производството и в преноса на топлинна енергия. За периода Януари-Декември 202</w:t>
      </w:r>
      <w:r w:rsidR="000901A4" w:rsidRPr="00A96A50">
        <w:rPr>
          <w:color w:val="000000" w:themeColor="text1"/>
        </w:rPr>
        <w:t>3</w:t>
      </w:r>
      <w:r w:rsidRPr="00A96A50">
        <w:rPr>
          <w:color w:val="000000" w:themeColor="text1"/>
        </w:rPr>
        <w:t xml:space="preserve">г. съотношението на отработените часове за дейности свързани с производство са </w:t>
      </w:r>
      <w:r w:rsidR="00A95C23">
        <w:rPr>
          <w:color w:val="000000" w:themeColor="text1"/>
          <w:lang w:val="en-US"/>
        </w:rPr>
        <w:t>xx xxx</w:t>
      </w:r>
      <w:r w:rsidRPr="00A96A50">
        <w:rPr>
          <w:color w:val="000000" w:themeColor="text1"/>
        </w:rPr>
        <w:t xml:space="preserve">., а тези свързани с пренос </w:t>
      </w:r>
      <w:r w:rsidR="00A95C23">
        <w:rPr>
          <w:color w:val="000000" w:themeColor="text1"/>
          <w:lang w:val="en-US"/>
        </w:rPr>
        <w:t>xx xxx</w:t>
      </w:r>
      <w:r w:rsidRPr="00A96A50">
        <w:rPr>
          <w:color w:val="000000" w:themeColor="text1"/>
        </w:rPr>
        <w:t xml:space="preserve">. На тази база </w:t>
      </w:r>
      <w:r w:rsidR="00A95C23">
        <w:rPr>
          <w:color w:val="000000" w:themeColor="text1"/>
          <w:lang w:val="en-US"/>
        </w:rPr>
        <w:t>xx</w:t>
      </w:r>
      <w:r w:rsidRPr="00A96A50">
        <w:rPr>
          <w:color w:val="000000" w:themeColor="text1"/>
        </w:rPr>
        <w:t>% от стойността на активите свързани с административната работа на дружеството се разпределя за производство на енергия, а</w:t>
      </w:r>
      <w:r w:rsidR="00A95C23">
        <w:rPr>
          <w:color w:val="000000" w:themeColor="text1"/>
          <w:lang w:val="en-US"/>
        </w:rPr>
        <w:t xml:space="preserve"> xx</w:t>
      </w:r>
      <w:r w:rsidRPr="00A96A50">
        <w:rPr>
          <w:color w:val="000000" w:themeColor="text1"/>
        </w:rPr>
        <w:t>% се разпределя за пренос на топлинна енергия.</w:t>
      </w:r>
    </w:p>
    <w:p w14:paraId="7B3696D9" w14:textId="77777777" w:rsidR="009242AD" w:rsidRPr="00A96A50" w:rsidRDefault="009242AD" w:rsidP="00B738B4">
      <w:pPr>
        <w:ind w:left="709"/>
        <w:rPr>
          <w:color w:val="000000" w:themeColor="text1"/>
        </w:rPr>
      </w:pPr>
    </w:p>
    <w:p w14:paraId="78460D5F" w14:textId="77777777" w:rsidR="009242AD" w:rsidRPr="00A96A50" w:rsidRDefault="009242AD" w:rsidP="00B738B4">
      <w:pPr>
        <w:ind w:left="709"/>
        <w:rPr>
          <w:color w:val="000000" w:themeColor="text1"/>
          <w:lang w:val="en-US"/>
        </w:rPr>
      </w:pPr>
      <w:r w:rsidRPr="00A96A50">
        <w:rPr>
          <w:color w:val="000000" w:themeColor="text1"/>
        </w:rPr>
        <w:t>Получената стойност за производството след това се разпределя между производство на топлинна енергия и производство на електрическа енергия с коефициент „Коефициент за разпределяне на горивото при комбинирано производство на електрическа и топлинна енергия в енергийната част на централата”. Коефициентът се калкулира на база постигнати ефективности за ел. и топлинна енергия и референтните стойности, определени на база Делегирания Регламент (ЕС) 2015/2402 от 12 октомври 2015 година.</w:t>
      </w:r>
    </w:p>
    <w:p w14:paraId="57B988CC" w14:textId="77777777" w:rsidR="009242AD" w:rsidRPr="00A96A50" w:rsidRDefault="009242AD" w:rsidP="008A3CA0">
      <w:pPr>
        <w:pStyle w:val="Heading3"/>
        <w:numPr>
          <w:ilvl w:val="2"/>
          <w:numId w:val="8"/>
        </w:numPr>
        <w:tabs>
          <w:tab w:val="clear" w:pos="709"/>
        </w:tabs>
        <w:spacing w:before="240" w:line="240" w:lineRule="auto"/>
        <w:rPr>
          <w:b/>
          <w:color w:val="000000" w:themeColor="text1"/>
          <w:sz w:val="20"/>
        </w:rPr>
      </w:pPr>
      <w:r w:rsidRPr="00A96A50">
        <w:rPr>
          <w:b/>
          <w:color w:val="000000" w:themeColor="text1"/>
          <w:sz w:val="20"/>
        </w:rPr>
        <w:t>Оборотен капитал</w:t>
      </w:r>
    </w:p>
    <w:p w14:paraId="2675FC65" w14:textId="7B6DC5C9" w:rsidR="008962A0" w:rsidRPr="00A96A50" w:rsidRDefault="008962A0" w:rsidP="008962A0">
      <w:pPr>
        <w:ind w:left="709"/>
        <w:rPr>
          <w:strike/>
          <w:color w:val="000000" w:themeColor="text1"/>
        </w:rPr>
      </w:pPr>
      <w:bookmarkStart w:id="19" w:name="_Hlk114212214"/>
      <w:r w:rsidRPr="00A96A50">
        <w:rPr>
          <w:color w:val="000000" w:themeColor="text1"/>
        </w:rPr>
        <w:t>Дружеството е калкулирало ценовия параметър „Необходим оборотен капитал“ (НОК) в съответствие с разпоредбата на чл. 9, ал. 10 от НРЦ</w:t>
      </w:r>
      <w:r w:rsidR="00CE7EAE" w:rsidRPr="00A96A50">
        <w:rPr>
          <w:color w:val="000000" w:themeColor="text1"/>
        </w:rPr>
        <w:t>Т</w:t>
      </w:r>
      <w:r w:rsidRPr="00A96A50">
        <w:rPr>
          <w:color w:val="000000" w:themeColor="text1"/>
        </w:rPr>
        <w:t xml:space="preserve">Е, като 1/8 от утвърдените годишни оперативни разходи за лицензионната дейност, като не се включват разходи за амортизации и разходи за обезценка на несъбираеми вземания. </w:t>
      </w:r>
      <w:bookmarkEnd w:id="19"/>
    </w:p>
    <w:p w14:paraId="7FCE31D6" w14:textId="7C54C6EA" w:rsidR="009242AD" w:rsidRPr="00A96A50" w:rsidRDefault="008962A0" w:rsidP="008962A0">
      <w:pPr>
        <w:ind w:left="709"/>
        <w:rPr>
          <w:color w:val="000000" w:themeColor="text1"/>
        </w:rPr>
      </w:pPr>
      <w:r w:rsidRPr="00A96A50">
        <w:rPr>
          <w:color w:val="000000" w:themeColor="text1"/>
        </w:rPr>
        <w:t xml:space="preserve">В резултат на прилагане на </w:t>
      </w:r>
      <w:r w:rsidR="00CE7EAE" w:rsidRPr="00A96A50">
        <w:rPr>
          <w:color w:val="000000" w:themeColor="text1"/>
        </w:rPr>
        <w:t>описания подход</w:t>
      </w:r>
      <w:r w:rsidRPr="00A96A50">
        <w:rPr>
          <w:color w:val="000000" w:themeColor="text1"/>
        </w:rPr>
        <w:t xml:space="preserve"> необходимият оборотен капитал възлиза на </w:t>
      </w:r>
      <w:r w:rsidR="00A95C23">
        <w:rPr>
          <w:b/>
          <w:color w:val="000000" w:themeColor="text1"/>
          <w:lang w:val="en-US"/>
        </w:rPr>
        <w:t>xx xxx</w:t>
      </w:r>
      <w:r w:rsidR="00732A27" w:rsidRPr="00A96A50">
        <w:rPr>
          <w:b/>
          <w:color w:val="000000" w:themeColor="text1"/>
        </w:rPr>
        <w:t xml:space="preserve"> хил. лв</w:t>
      </w:r>
      <w:r w:rsidR="008B7D72" w:rsidRPr="00A96A50">
        <w:rPr>
          <w:b/>
          <w:color w:val="000000" w:themeColor="text1"/>
        </w:rPr>
        <w:t>.</w:t>
      </w:r>
      <w:r w:rsidR="00732A27" w:rsidRPr="00A96A50">
        <w:rPr>
          <w:color w:val="000000" w:themeColor="text1"/>
        </w:rPr>
        <w:tab/>
      </w:r>
      <w:r w:rsidR="00732A27" w:rsidRPr="00A96A50">
        <w:rPr>
          <w:color w:val="000000" w:themeColor="text1"/>
        </w:rPr>
        <w:tab/>
      </w:r>
    </w:p>
    <w:p w14:paraId="780AC82E" w14:textId="336CE417" w:rsidR="006A0389" w:rsidRPr="00A96A50" w:rsidRDefault="006A0389" w:rsidP="00732A27">
      <w:pPr>
        <w:rPr>
          <w:color w:val="000000" w:themeColor="text1"/>
        </w:rPr>
      </w:pPr>
    </w:p>
    <w:p w14:paraId="475C4D67" w14:textId="170E7DA2" w:rsidR="00066713" w:rsidRPr="00A96A50" w:rsidRDefault="009242AD" w:rsidP="00066713">
      <w:pPr>
        <w:ind w:left="709"/>
        <w:rPr>
          <w:color w:val="000000" w:themeColor="text1"/>
        </w:rPr>
      </w:pPr>
      <w:r w:rsidRPr="00A96A50">
        <w:rPr>
          <w:color w:val="000000" w:themeColor="text1"/>
        </w:rPr>
        <w:t xml:space="preserve">Калкулираната необходима сума за оборотен капитал се разпределя между регулаторната база на активи за производство и регулаторната база на активи за пренос на топлинна енергия на база коефициент получен според отработените от служителите на дружеството часове за </w:t>
      </w:r>
      <w:r w:rsidR="0091564A" w:rsidRPr="00A96A50">
        <w:rPr>
          <w:color w:val="000000" w:themeColor="text1"/>
        </w:rPr>
        <w:t xml:space="preserve">2022 година съответно в производството и в преноса на топлинна енергия. За периода Януари-Декември 2022г. съотношението на отработените часове за дейности свързани с производство </w:t>
      </w:r>
      <w:r w:rsidR="00A95C23">
        <w:rPr>
          <w:color w:val="000000" w:themeColor="text1"/>
          <w:lang w:val="en-US"/>
        </w:rPr>
        <w:t>xx xxx</w:t>
      </w:r>
      <w:r w:rsidR="00066713" w:rsidRPr="00A96A50">
        <w:rPr>
          <w:color w:val="000000" w:themeColor="text1"/>
        </w:rPr>
        <w:t xml:space="preserve">ч., а тези свързани с пренос </w:t>
      </w:r>
      <w:r w:rsidR="00A95C23">
        <w:rPr>
          <w:color w:val="000000" w:themeColor="text1"/>
          <w:lang w:val="en-US"/>
        </w:rPr>
        <w:t>xx xxx</w:t>
      </w:r>
      <w:r w:rsidR="00066713" w:rsidRPr="00A96A50">
        <w:rPr>
          <w:color w:val="000000" w:themeColor="text1"/>
        </w:rPr>
        <w:t xml:space="preserve">ч. На тази база </w:t>
      </w:r>
      <w:r w:rsidR="00A95C23">
        <w:rPr>
          <w:color w:val="000000" w:themeColor="text1"/>
          <w:lang w:val="en-US"/>
        </w:rPr>
        <w:t>xx</w:t>
      </w:r>
      <w:r w:rsidR="00066713" w:rsidRPr="00A96A50">
        <w:rPr>
          <w:color w:val="000000" w:themeColor="text1"/>
        </w:rPr>
        <w:t xml:space="preserve">% от стойността на активите свързани с административната работа на дружеството се разпределя за производство на енергия, а </w:t>
      </w:r>
      <w:r w:rsidR="00A95C23">
        <w:rPr>
          <w:color w:val="000000" w:themeColor="text1"/>
          <w:lang w:val="en-US"/>
        </w:rPr>
        <w:t>xx</w:t>
      </w:r>
      <w:r w:rsidR="00066713" w:rsidRPr="00A96A50">
        <w:rPr>
          <w:color w:val="000000" w:themeColor="text1"/>
        </w:rPr>
        <w:t>% се разпределя за пренос на топлинна енергия.</w:t>
      </w:r>
    </w:p>
    <w:p w14:paraId="4B47B12F" w14:textId="3B124B53" w:rsidR="009242AD" w:rsidRPr="00A96A50" w:rsidRDefault="009242AD" w:rsidP="00B738B4">
      <w:pPr>
        <w:ind w:left="709"/>
        <w:rPr>
          <w:color w:val="000000" w:themeColor="text1"/>
        </w:rPr>
      </w:pPr>
      <w:r w:rsidRPr="00A96A50">
        <w:rPr>
          <w:color w:val="000000" w:themeColor="text1"/>
        </w:rPr>
        <w:t xml:space="preserve">Получената сума за необходим оборотен капитал за производство се разпределя между производство на електрическа енергия и производство на топлинна енергия на база коефициент „Коефициент за разпределяне на горивото при комбинирано производство на електрическа и топлинна енергия в енергийната част на централата”. Коефициентът се калкулира на база постигнати ефективности за ел. и топлинна енергия и референтните стойности, определени на база Делегирания Регламент (ЕС) 2015/2402 от 12 октомври 2015 година. </w:t>
      </w:r>
    </w:p>
    <w:p w14:paraId="151954DE" w14:textId="2DB62AB4" w:rsidR="00B25094" w:rsidRPr="0057086A" w:rsidRDefault="00B25094" w:rsidP="00B738B4">
      <w:pPr>
        <w:ind w:left="709"/>
      </w:pPr>
    </w:p>
    <w:p w14:paraId="409108B8" w14:textId="67F9F29C" w:rsidR="00B25094" w:rsidRPr="0057086A" w:rsidRDefault="00B25094" w:rsidP="00B25094">
      <w:pPr>
        <w:pStyle w:val="Heading3"/>
        <w:numPr>
          <w:ilvl w:val="2"/>
          <w:numId w:val="8"/>
        </w:numPr>
        <w:tabs>
          <w:tab w:val="clear" w:pos="709"/>
        </w:tabs>
        <w:spacing w:before="240" w:line="240" w:lineRule="auto"/>
        <w:rPr>
          <w:b/>
          <w:color w:val="000000" w:themeColor="text1"/>
          <w:sz w:val="20"/>
        </w:rPr>
      </w:pPr>
      <w:r w:rsidRPr="0057086A">
        <w:rPr>
          <w:b/>
          <w:color w:val="000000" w:themeColor="text1"/>
          <w:sz w:val="20"/>
        </w:rPr>
        <w:lastRenderedPageBreak/>
        <w:t xml:space="preserve">Финансирания </w:t>
      </w:r>
    </w:p>
    <w:p w14:paraId="18652F25" w14:textId="7C50E8EA" w:rsidR="009242AD" w:rsidRPr="00A96A50" w:rsidRDefault="00B25094" w:rsidP="009242AD">
      <w:pPr>
        <w:ind w:left="709"/>
        <w:rPr>
          <w:color w:val="000000" w:themeColor="text1"/>
        </w:rPr>
      </w:pPr>
      <w:bookmarkStart w:id="20" w:name="_Hlk114212250"/>
      <w:r w:rsidRPr="00A96A50">
        <w:rPr>
          <w:color w:val="000000" w:themeColor="text1"/>
        </w:rPr>
        <w:t xml:space="preserve">В калкулацията са включени финансиране за ново присъединяване на стойност </w:t>
      </w:r>
      <w:r w:rsidR="00A95C23">
        <w:rPr>
          <w:color w:val="000000" w:themeColor="text1"/>
          <w:lang w:val="en-US"/>
        </w:rPr>
        <w:t>xxx</w:t>
      </w:r>
      <w:r w:rsidRPr="00A96A50">
        <w:rPr>
          <w:color w:val="000000" w:themeColor="text1"/>
        </w:rPr>
        <w:t xml:space="preserve"> хил. л</w:t>
      </w:r>
      <w:r w:rsidR="00B4444F" w:rsidRPr="00A96A50">
        <w:rPr>
          <w:color w:val="000000" w:themeColor="text1"/>
        </w:rPr>
        <w:t>в</w:t>
      </w:r>
      <w:r w:rsidRPr="00A96A50">
        <w:rPr>
          <w:color w:val="000000" w:themeColor="text1"/>
        </w:rPr>
        <w:t xml:space="preserve">. И финансиране от Община Пловдив за изграждане на Първа градска магистрала в размер на </w:t>
      </w:r>
      <w:r w:rsidR="00A95C23">
        <w:rPr>
          <w:color w:val="000000" w:themeColor="text1"/>
          <w:lang w:val="en-US"/>
        </w:rPr>
        <w:t>xxx</w:t>
      </w:r>
      <w:r w:rsidRPr="00A96A50">
        <w:rPr>
          <w:color w:val="000000" w:themeColor="text1"/>
        </w:rPr>
        <w:t xml:space="preserve"> хил. </w:t>
      </w:r>
      <w:bookmarkEnd w:id="20"/>
      <w:r w:rsidRPr="00A96A50">
        <w:rPr>
          <w:color w:val="000000" w:themeColor="text1"/>
        </w:rPr>
        <w:t xml:space="preserve">лв. Общата стойност на финансиранията включени в Справка 2 „РБА“ </w:t>
      </w:r>
      <w:r w:rsidR="00A95C23">
        <w:rPr>
          <w:b/>
          <w:color w:val="000000" w:themeColor="text1"/>
          <w:lang w:val="en-US"/>
        </w:rPr>
        <w:t>xxx</w:t>
      </w:r>
      <w:r w:rsidR="00C36E29" w:rsidRPr="00A96A50">
        <w:rPr>
          <w:b/>
          <w:color w:val="000000" w:themeColor="text1"/>
        </w:rPr>
        <w:t xml:space="preserve"> </w:t>
      </w:r>
      <w:r w:rsidRPr="00A96A50">
        <w:rPr>
          <w:b/>
          <w:color w:val="000000" w:themeColor="text1"/>
        </w:rPr>
        <w:t>хил. лв</w:t>
      </w:r>
      <w:r w:rsidRPr="00A96A50">
        <w:rPr>
          <w:color w:val="000000" w:themeColor="text1"/>
        </w:rPr>
        <w:t>.</w:t>
      </w:r>
    </w:p>
    <w:p w14:paraId="4E599F19" w14:textId="16B56C40" w:rsidR="00FF755A" w:rsidRPr="0057086A" w:rsidRDefault="00FF755A" w:rsidP="009242AD">
      <w:pPr>
        <w:ind w:left="709"/>
      </w:pPr>
    </w:p>
    <w:p w14:paraId="490694D0" w14:textId="53FD7E70" w:rsidR="00FF755A" w:rsidRPr="0057086A" w:rsidRDefault="00FF755A" w:rsidP="00FF755A">
      <w:pPr>
        <w:pStyle w:val="Heading3"/>
        <w:numPr>
          <w:ilvl w:val="2"/>
          <w:numId w:val="8"/>
        </w:numPr>
        <w:tabs>
          <w:tab w:val="clear" w:pos="709"/>
        </w:tabs>
        <w:spacing w:before="240" w:line="240" w:lineRule="auto"/>
        <w:rPr>
          <w:b/>
          <w:color w:val="auto"/>
        </w:rPr>
      </w:pPr>
      <w:r w:rsidRPr="0057086A">
        <w:rPr>
          <w:b/>
          <w:color w:val="auto"/>
        </w:rPr>
        <w:t>Калкулация на РБА</w:t>
      </w:r>
    </w:p>
    <w:p w14:paraId="55327ECD" w14:textId="5BF6D4EF" w:rsidR="00FF755A" w:rsidRPr="0057086A" w:rsidRDefault="00FF755A" w:rsidP="009242AD">
      <w:pPr>
        <w:ind w:left="709"/>
      </w:pPr>
    </w:p>
    <w:p w14:paraId="15C3531E" w14:textId="2EF369E9" w:rsidR="00FF755A" w:rsidRPr="0057086A" w:rsidRDefault="00FF755A" w:rsidP="00FF755A">
      <w:pPr>
        <w:ind w:left="709"/>
      </w:pPr>
      <w:r w:rsidRPr="0057086A">
        <w:t>Вземайки в предвид формулата за калкулиране на Р</w:t>
      </w:r>
      <w:r w:rsidR="00BA6613" w:rsidRPr="0057086A">
        <w:t xml:space="preserve">БА е направена </w:t>
      </w:r>
      <w:r w:rsidRPr="0057086A">
        <w:t>следната калкулация:</w:t>
      </w:r>
    </w:p>
    <w:p w14:paraId="405F5EFA" w14:textId="082DC175" w:rsidR="00FF755A" w:rsidRPr="0057086A" w:rsidRDefault="00FF755A" w:rsidP="00FF755A">
      <w:pPr>
        <w:ind w:left="709"/>
        <w:rPr>
          <w:color w:val="000000" w:themeColor="text1"/>
        </w:rPr>
      </w:pPr>
      <w:r w:rsidRPr="0057086A">
        <w:rPr>
          <w:color w:val="000000" w:themeColor="text1"/>
        </w:rPr>
        <w:t>РБА=А–Ф–АМ +ОК+И</w:t>
      </w:r>
    </w:p>
    <w:p w14:paraId="01585DE0" w14:textId="403984E9" w:rsidR="00FF755A" w:rsidRPr="0057086A" w:rsidRDefault="00FF755A" w:rsidP="00FF755A">
      <w:pPr>
        <w:ind w:left="709"/>
        <w:rPr>
          <w:color w:val="000000" w:themeColor="text1"/>
        </w:rPr>
      </w:pPr>
      <w:r w:rsidRPr="0057086A">
        <w:rPr>
          <w:color w:val="000000" w:themeColor="text1"/>
        </w:rPr>
        <w:t xml:space="preserve">РБА = </w:t>
      </w:r>
      <w:r w:rsidR="00A95C23">
        <w:rPr>
          <w:color w:val="000000" w:themeColor="text1"/>
          <w:lang w:val="en-US"/>
        </w:rPr>
        <w:t xml:space="preserve">xxx </w:t>
      </w:r>
      <w:proofErr w:type="spellStart"/>
      <w:r w:rsidR="00A95C23">
        <w:rPr>
          <w:color w:val="000000" w:themeColor="text1"/>
          <w:lang w:val="en-US"/>
        </w:rPr>
        <w:t>xxx</w:t>
      </w:r>
      <w:proofErr w:type="spellEnd"/>
      <w:r w:rsidRPr="0057086A">
        <w:rPr>
          <w:color w:val="000000" w:themeColor="text1"/>
        </w:rPr>
        <w:t xml:space="preserve">– </w:t>
      </w:r>
      <w:r w:rsidR="00A95C23">
        <w:rPr>
          <w:color w:val="000000" w:themeColor="text1"/>
          <w:lang w:val="en-US"/>
        </w:rPr>
        <w:t>xxx</w:t>
      </w:r>
      <w:r w:rsidRPr="0057086A">
        <w:rPr>
          <w:color w:val="000000" w:themeColor="text1"/>
        </w:rPr>
        <w:t xml:space="preserve"> </w:t>
      </w:r>
      <w:r w:rsidR="00AA64CA" w:rsidRPr="0057086A">
        <w:rPr>
          <w:color w:val="000000" w:themeColor="text1"/>
        </w:rPr>
        <w:t>–</w:t>
      </w:r>
      <w:r w:rsidRPr="0057086A">
        <w:rPr>
          <w:color w:val="000000" w:themeColor="text1"/>
        </w:rPr>
        <w:t xml:space="preserve"> </w:t>
      </w:r>
      <w:r w:rsidR="00A95C23">
        <w:rPr>
          <w:color w:val="000000" w:themeColor="text1"/>
          <w:lang w:val="en-US"/>
        </w:rPr>
        <w:t xml:space="preserve">xxx </w:t>
      </w:r>
      <w:proofErr w:type="spellStart"/>
      <w:r w:rsidR="00A95C23">
        <w:rPr>
          <w:color w:val="000000" w:themeColor="text1"/>
          <w:lang w:val="en-US"/>
        </w:rPr>
        <w:t>xxx</w:t>
      </w:r>
      <w:proofErr w:type="spellEnd"/>
      <w:r w:rsidR="002D19E0">
        <w:rPr>
          <w:color w:val="000000" w:themeColor="text1"/>
          <w:lang w:val="en-US"/>
        </w:rPr>
        <w:t xml:space="preserve"> </w:t>
      </w:r>
      <w:r w:rsidRPr="0057086A">
        <w:rPr>
          <w:color w:val="000000" w:themeColor="text1"/>
        </w:rPr>
        <w:t xml:space="preserve">+ </w:t>
      </w:r>
      <w:r w:rsidR="00A95C23">
        <w:rPr>
          <w:color w:val="000000" w:themeColor="text1"/>
          <w:lang w:val="en-US"/>
        </w:rPr>
        <w:t>xx xxx</w:t>
      </w:r>
      <w:r w:rsidR="00B646F3" w:rsidRPr="0057086A">
        <w:rPr>
          <w:color w:val="000000" w:themeColor="text1"/>
        </w:rPr>
        <w:t xml:space="preserve"> </w:t>
      </w:r>
      <w:r w:rsidR="001B2B2F" w:rsidRPr="0057086A">
        <w:rPr>
          <w:color w:val="000000" w:themeColor="text1"/>
        </w:rPr>
        <w:t>+</w:t>
      </w:r>
      <w:r w:rsidR="00436275" w:rsidRPr="0057086A">
        <w:rPr>
          <w:color w:val="000000" w:themeColor="text1"/>
        </w:rPr>
        <w:t xml:space="preserve"> </w:t>
      </w:r>
      <w:r w:rsidR="00A95C23">
        <w:rPr>
          <w:color w:val="000000" w:themeColor="text1"/>
          <w:lang w:val="en-US"/>
        </w:rPr>
        <w:t>x</w:t>
      </w:r>
      <w:r w:rsidR="001B2B2F" w:rsidRPr="0057086A">
        <w:rPr>
          <w:color w:val="000000" w:themeColor="text1"/>
        </w:rPr>
        <w:t xml:space="preserve"> </w:t>
      </w:r>
      <w:r w:rsidRPr="0057086A">
        <w:rPr>
          <w:color w:val="000000" w:themeColor="text1"/>
        </w:rPr>
        <w:t xml:space="preserve">= </w:t>
      </w:r>
      <w:r w:rsidR="00A95C23">
        <w:rPr>
          <w:b/>
          <w:color w:val="000000" w:themeColor="text1"/>
          <w:lang w:val="en-US"/>
        </w:rPr>
        <w:t xml:space="preserve">xxx </w:t>
      </w:r>
      <w:proofErr w:type="spellStart"/>
      <w:r w:rsidR="00A95C23">
        <w:rPr>
          <w:b/>
          <w:color w:val="000000" w:themeColor="text1"/>
          <w:lang w:val="en-US"/>
        </w:rPr>
        <w:t>xxx</w:t>
      </w:r>
      <w:proofErr w:type="spellEnd"/>
      <w:r w:rsidRPr="0057086A">
        <w:rPr>
          <w:b/>
          <w:color w:val="000000" w:themeColor="text1"/>
        </w:rPr>
        <w:t xml:space="preserve"> хил.</w:t>
      </w:r>
      <w:r w:rsidR="008B7D72" w:rsidRPr="0057086A">
        <w:rPr>
          <w:b/>
          <w:color w:val="000000" w:themeColor="text1"/>
        </w:rPr>
        <w:t xml:space="preserve"> </w:t>
      </w:r>
      <w:r w:rsidRPr="0057086A">
        <w:rPr>
          <w:b/>
          <w:color w:val="000000" w:themeColor="text1"/>
        </w:rPr>
        <w:t>лв</w:t>
      </w:r>
      <w:r w:rsidR="008B7D72" w:rsidRPr="0057086A">
        <w:rPr>
          <w:b/>
          <w:color w:val="000000" w:themeColor="text1"/>
        </w:rPr>
        <w:t>.</w:t>
      </w:r>
      <w:r w:rsidRPr="0057086A">
        <w:rPr>
          <w:color w:val="000000" w:themeColor="text1"/>
        </w:rPr>
        <w:t xml:space="preserve"> </w:t>
      </w:r>
    </w:p>
    <w:p w14:paraId="7CCE5476" w14:textId="08CAEDEB" w:rsidR="009242AD" w:rsidRPr="0057086A" w:rsidRDefault="009242AD" w:rsidP="00023556">
      <w:pPr>
        <w:rPr>
          <w:b/>
        </w:rPr>
      </w:pPr>
    </w:p>
    <w:p w14:paraId="2C28A5C6" w14:textId="4ED7F4CA" w:rsidR="009242AD" w:rsidRPr="0057086A" w:rsidRDefault="009242AD" w:rsidP="00226ECF">
      <w:pPr>
        <w:pStyle w:val="Heading2"/>
        <w:keepLines w:val="0"/>
        <w:numPr>
          <w:ilvl w:val="1"/>
          <w:numId w:val="12"/>
        </w:numPr>
        <w:tabs>
          <w:tab w:val="clear" w:pos="567"/>
        </w:tabs>
        <w:spacing w:before="240" w:line="240" w:lineRule="auto"/>
        <w:rPr>
          <w:color w:val="auto"/>
          <w:sz w:val="20"/>
        </w:rPr>
      </w:pPr>
      <w:r w:rsidRPr="0057086A">
        <w:rPr>
          <w:color w:val="auto"/>
          <w:sz w:val="20"/>
        </w:rPr>
        <w:t>Възвръщаемост на РБА</w:t>
      </w:r>
    </w:p>
    <w:p w14:paraId="104949EF" w14:textId="77777777" w:rsidR="009242AD" w:rsidRPr="0057086A" w:rsidRDefault="009242AD" w:rsidP="009242AD"/>
    <w:p w14:paraId="66A6100B" w14:textId="77777777" w:rsidR="009242AD" w:rsidRPr="00963012" w:rsidRDefault="009242AD" w:rsidP="009242AD">
      <w:pPr>
        <w:ind w:left="709"/>
        <w:rPr>
          <w:color w:val="000000" w:themeColor="text1"/>
        </w:rPr>
      </w:pPr>
      <w:r w:rsidRPr="00963012">
        <w:rPr>
          <w:color w:val="000000" w:themeColor="text1"/>
        </w:rPr>
        <w:t>Възвръщаемостта на регулаторната база на активите следва концепцията за средната претеглена цена на капитала (WACC)</w:t>
      </w:r>
    </w:p>
    <w:p w14:paraId="0BC25502" w14:textId="77777777" w:rsidR="009242AD" w:rsidRPr="00963012" w:rsidRDefault="009242AD" w:rsidP="009242AD">
      <w:pPr>
        <w:ind w:left="709"/>
        <w:rPr>
          <w:color w:val="000000" w:themeColor="text1"/>
        </w:rPr>
      </w:pPr>
    </w:p>
    <w:p w14:paraId="3943ED7E" w14:textId="77777777" w:rsidR="009242AD" w:rsidRPr="00963012" w:rsidRDefault="009242AD" w:rsidP="009242AD">
      <w:pPr>
        <w:ind w:left="709"/>
        <w:rPr>
          <w:color w:val="000000" w:themeColor="text1"/>
        </w:rPr>
      </w:pPr>
      <w:r w:rsidRPr="00963012">
        <w:rPr>
          <w:color w:val="000000" w:themeColor="text1"/>
        </w:rPr>
        <w:t xml:space="preserve">Стандартната методология за изчисляване на WACC отчита наличието на различни източници на финансиране на компаниите. Тя се състои от два компонента: цена на собствения капитал и цена на привлечения капитал, които се претеглят спрямо капиталовата структура. По този начин WACC представя средната лихва, която дадена компания трябва да плати за своето финансиране.  </w:t>
      </w:r>
    </w:p>
    <w:p w14:paraId="7DFAC459" w14:textId="77777777" w:rsidR="009242AD" w:rsidRPr="00963012" w:rsidRDefault="009242AD" w:rsidP="009242AD">
      <w:pPr>
        <w:ind w:left="709"/>
        <w:rPr>
          <w:color w:val="000000" w:themeColor="text1"/>
        </w:rPr>
      </w:pPr>
    </w:p>
    <w:p w14:paraId="184B98C6" w14:textId="77777777" w:rsidR="009242AD" w:rsidRPr="00963012" w:rsidRDefault="009242AD" w:rsidP="009242AD">
      <w:pPr>
        <w:ind w:left="709"/>
        <w:rPr>
          <w:color w:val="000000" w:themeColor="text1"/>
        </w:rPr>
      </w:pPr>
      <w:r w:rsidRPr="00963012">
        <w:rPr>
          <w:color w:val="000000" w:themeColor="text1"/>
        </w:rPr>
        <w:t>Съгласно чл.10 ал.2 от НРЦТЕ, нормата на възвръщаемост на капитала преди данъчно облагане, означена с буквите „НВ“ се определя по следната формула:</w:t>
      </w:r>
    </w:p>
    <w:p w14:paraId="2730A2F2" w14:textId="77777777" w:rsidR="009242AD" w:rsidRPr="0057086A" w:rsidRDefault="009242AD" w:rsidP="009242AD">
      <w:pPr>
        <w:ind w:left="709"/>
      </w:pPr>
    </w:p>
    <w:p w14:paraId="1313B719" w14:textId="3A77E839" w:rsidR="009242AD" w:rsidRPr="0057086A" w:rsidRDefault="006179E7" w:rsidP="009242AD">
      <w:pPr>
        <w:ind w:left="709"/>
      </w:pPr>
      <w:r w:rsidRPr="0057086A">
        <w:rPr>
          <w:noProof/>
          <w:sz w:val="24"/>
          <w:szCs w:val="24"/>
          <w:lang w:eastAsia="bg-BG"/>
        </w:rPr>
        <w:drawing>
          <wp:anchor distT="0" distB="0" distL="114300" distR="114300" simplePos="0" relativeHeight="251664384" behindDoc="1" locked="0" layoutInCell="1" allowOverlap="1" wp14:anchorId="668D8FCC" wp14:editId="65F4FC59">
            <wp:simplePos x="0" y="0"/>
            <wp:positionH relativeFrom="margin">
              <wp:posOffset>13335</wp:posOffset>
            </wp:positionH>
            <wp:positionV relativeFrom="paragraph">
              <wp:posOffset>174625</wp:posOffset>
            </wp:positionV>
            <wp:extent cx="2616200" cy="85852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16200" cy="858520"/>
                    </a:xfrm>
                    <a:prstGeom prst="rect">
                      <a:avLst/>
                    </a:prstGeom>
                    <a:noFill/>
                    <a:ln>
                      <a:noFill/>
                    </a:ln>
                  </pic:spPr>
                </pic:pic>
              </a:graphicData>
            </a:graphic>
          </wp:anchor>
        </w:drawing>
      </w:r>
    </w:p>
    <w:p w14:paraId="2514B2D8" w14:textId="5ED9C1FD" w:rsidR="006179E7" w:rsidRPr="0057086A" w:rsidRDefault="006179E7" w:rsidP="009242AD">
      <w:pPr>
        <w:ind w:left="709"/>
      </w:pPr>
    </w:p>
    <w:p w14:paraId="62F3E9BD" w14:textId="5A92F446" w:rsidR="006179E7" w:rsidRPr="0057086A" w:rsidRDefault="006179E7" w:rsidP="009242AD">
      <w:pPr>
        <w:ind w:left="709"/>
      </w:pPr>
    </w:p>
    <w:p w14:paraId="52B21784" w14:textId="3C4139FD" w:rsidR="006179E7" w:rsidRPr="0057086A" w:rsidRDefault="006179E7" w:rsidP="009242AD">
      <w:pPr>
        <w:ind w:left="709"/>
      </w:pPr>
    </w:p>
    <w:p w14:paraId="2D5A7FA5" w14:textId="57F5D168" w:rsidR="006179E7" w:rsidRPr="0057086A" w:rsidRDefault="006179E7" w:rsidP="009242AD">
      <w:pPr>
        <w:ind w:left="709"/>
      </w:pPr>
    </w:p>
    <w:p w14:paraId="0C6F659D" w14:textId="77777777" w:rsidR="006179E7" w:rsidRPr="0057086A" w:rsidRDefault="006179E7" w:rsidP="009242AD">
      <w:pPr>
        <w:ind w:left="709"/>
      </w:pPr>
    </w:p>
    <w:p w14:paraId="7663F9B1" w14:textId="77777777" w:rsidR="009242AD" w:rsidRPr="0057086A" w:rsidRDefault="009242AD" w:rsidP="009242AD">
      <w:pPr>
        <w:ind w:left="709"/>
      </w:pPr>
    </w:p>
    <w:p w14:paraId="746F03AB" w14:textId="77777777" w:rsidR="009242AD" w:rsidRPr="00963012" w:rsidRDefault="009242AD" w:rsidP="009242AD">
      <w:pPr>
        <w:ind w:left="709"/>
        <w:rPr>
          <w:color w:val="000000" w:themeColor="text1"/>
        </w:rPr>
      </w:pPr>
      <w:r w:rsidRPr="00963012">
        <w:rPr>
          <w:color w:val="000000" w:themeColor="text1"/>
        </w:rPr>
        <w:t>Където:</w:t>
      </w:r>
    </w:p>
    <w:p w14:paraId="61ECA770" w14:textId="77777777" w:rsidR="009242AD" w:rsidRPr="00963012" w:rsidRDefault="009242AD" w:rsidP="009242AD">
      <w:pPr>
        <w:ind w:left="709"/>
        <w:rPr>
          <w:color w:val="000000" w:themeColor="text1"/>
        </w:rPr>
      </w:pPr>
      <w:r w:rsidRPr="00963012">
        <w:rPr>
          <w:color w:val="000000" w:themeColor="text1"/>
        </w:rPr>
        <w:t>Д</w:t>
      </w:r>
      <w:r w:rsidRPr="00963012">
        <w:rPr>
          <w:color w:val="000000" w:themeColor="text1"/>
          <w:sz w:val="18"/>
        </w:rPr>
        <w:t>СК</w:t>
      </w:r>
      <w:r w:rsidRPr="00963012">
        <w:rPr>
          <w:color w:val="000000" w:themeColor="text1"/>
        </w:rPr>
        <w:t xml:space="preserve"> – дял на собствения капитал в общия капитал;</w:t>
      </w:r>
    </w:p>
    <w:p w14:paraId="4EE05851" w14:textId="77777777" w:rsidR="009242AD" w:rsidRPr="00963012" w:rsidRDefault="009242AD" w:rsidP="009242AD">
      <w:pPr>
        <w:ind w:left="709"/>
        <w:rPr>
          <w:color w:val="000000" w:themeColor="text1"/>
        </w:rPr>
      </w:pPr>
      <w:r w:rsidRPr="00963012">
        <w:rPr>
          <w:color w:val="000000" w:themeColor="text1"/>
        </w:rPr>
        <w:t>НВ</w:t>
      </w:r>
      <w:r w:rsidRPr="00963012">
        <w:rPr>
          <w:color w:val="000000" w:themeColor="text1"/>
          <w:sz w:val="18"/>
        </w:rPr>
        <w:t>СК</w:t>
      </w:r>
      <w:r w:rsidRPr="00963012">
        <w:rPr>
          <w:color w:val="000000" w:themeColor="text1"/>
        </w:rPr>
        <w:t xml:space="preserve"> – норма на възвръщаемост на собствения капитал след данъчно облагане;</w:t>
      </w:r>
    </w:p>
    <w:p w14:paraId="0FA8F318" w14:textId="77777777" w:rsidR="009242AD" w:rsidRPr="00963012" w:rsidRDefault="009242AD" w:rsidP="009242AD">
      <w:pPr>
        <w:ind w:left="709"/>
        <w:rPr>
          <w:color w:val="000000" w:themeColor="text1"/>
        </w:rPr>
      </w:pPr>
      <w:r w:rsidRPr="00963012">
        <w:rPr>
          <w:color w:val="000000" w:themeColor="text1"/>
        </w:rPr>
        <w:t>ДС – корпоративен данък по Закона за корпоративното подоходно облагане;</w:t>
      </w:r>
    </w:p>
    <w:p w14:paraId="5F82A720" w14:textId="77777777" w:rsidR="009242AD" w:rsidRPr="00963012" w:rsidRDefault="009242AD" w:rsidP="009242AD">
      <w:pPr>
        <w:ind w:left="709"/>
        <w:rPr>
          <w:color w:val="000000" w:themeColor="text1"/>
        </w:rPr>
      </w:pPr>
      <w:r w:rsidRPr="00963012">
        <w:rPr>
          <w:color w:val="000000" w:themeColor="text1"/>
        </w:rPr>
        <w:t>Д</w:t>
      </w:r>
      <w:r w:rsidRPr="00963012">
        <w:rPr>
          <w:color w:val="000000" w:themeColor="text1"/>
          <w:sz w:val="18"/>
        </w:rPr>
        <w:t>ПК</w:t>
      </w:r>
      <w:r w:rsidRPr="00963012">
        <w:rPr>
          <w:color w:val="000000" w:themeColor="text1"/>
        </w:rPr>
        <w:t xml:space="preserve"> – дял на привлечения капитал в общия капитал;</w:t>
      </w:r>
    </w:p>
    <w:p w14:paraId="32525470" w14:textId="77777777" w:rsidR="009242AD" w:rsidRPr="00963012" w:rsidRDefault="009242AD" w:rsidP="009242AD">
      <w:pPr>
        <w:ind w:left="709"/>
        <w:rPr>
          <w:color w:val="000000" w:themeColor="text1"/>
        </w:rPr>
      </w:pPr>
      <w:r w:rsidRPr="00963012">
        <w:rPr>
          <w:color w:val="000000" w:themeColor="text1"/>
        </w:rPr>
        <w:t>НВ</w:t>
      </w:r>
      <w:r w:rsidRPr="00963012">
        <w:rPr>
          <w:color w:val="000000" w:themeColor="text1"/>
          <w:sz w:val="18"/>
        </w:rPr>
        <w:t>ПК</w:t>
      </w:r>
      <w:r w:rsidRPr="00963012">
        <w:rPr>
          <w:color w:val="000000" w:themeColor="text1"/>
        </w:rPr>
        <w:t xml:space="preserve"> – норма на възвръщаемост на привлечения капитал, която е в съответствие с пазарната норма.</w:t>
      </w:r>
    </w:p>
    <w:p w14:paraId="1B7E100D" w14:textId="464B482C" w:rsidR="009242AD" w:rsidRPr="004E7546" w:rsidRDefault="009242AD" w:rsidP="009242AD">
      <w:pPr>
        <w:ind w:left="709"/>
        <w:rPr>
          <w:color w:val="00B050"/>
        </w:rPr>
      </w:pPr>
    </w:p>
    <w:p w14:paraId="511C933B" w14:textId="07AD0E9A" w:rsidR="009C7312" w:rsidRPr="007B6988" w:rsidRDefault="009C7312" w:rsidP="00226ECF">
      <w:pPr>
        <w:pStyle w:val="ListParagraph"/>
        <w:numPr>
          <w:ilvl w:val="0"/>
          <w:numId w:val="13"/>
        </w:numPr>
        <w:rPr>
          <w:rFonts w:ascii="Frutiger Next for EVN Light" w:hAnsi="Frutiger Next for EVN Light"/>
          <w:color w:val="000000" w:themeColor="text1"/>
          <w:sz w:val="19"/>
          <w:szCs w:val="19"/>
          <w:lang w:val="bg-BG"/>
        </w:rPr>
      </w:pPr>
      <w:r w:rsidRPr="007B6988">
        <w:rPr>
          <w:rFonts w:ascii="Frutiger Next for EVN Light" w:hAnsi="Frutiger Next for EVN Light"/>
          <w:color w:val="000000" w:themeColor="text1"/>
          <w:sz w:val="19"/>
          <w:szCs w:val="19"/>
          <w:lang w:val="bg-BG"/>
        </w:rPr>
        <w:t>Норма на възвръщаемост на собствения капитал</w:t>
      </w:r>
    </w:p>
    <w:p w14:paraId="09AD6AEF" w14:textId="77777777" w:rsidR="009242AD" w:rsidRPr="007B6988" w:rsidRDefault="009242AD" w:rsidP="009242AD">
      <w:pPr>
        <w:ind w:left="709"/>
        <w:rPr>
          <w:color w:val="000000" w:themeColor="text1"/>
        </w:rPr>
      </w:pPr>
    </w:p>
    <w:p w14:paraId="5CEC0194" w14:textId="36727848" w:rsidR="009242AD" w:rsidRPr="007B6988" w:rsidRDefault="009242AD" w:rsidP="009242AD">
      <w:pPr>
        <w:ind w:left="709"/>
        <w:rPr>
          <w:color w:val="000000" w:themeColor="text1"/>
        </w:rPr>
      </w:pPr>
      <w:r w:rsidRPr="007B6988">
        <w:rPr>
          <w:color w:val="000000" w:themeColor="text1"/>
        </w:rPr>
        <w:t xml:space="preserve">За изчисляване на цената на собствения капитал за следващия ценови период предлагаме международно приетия модел „Ценообразуващ модел на капиталови активи“ (Capital </w:t>
      </w:r>
      <w:proofErr w:type="spellStart"/>
      <w:r w:rsidRPr="007B6988">
        <w:rPr>
          <w:color w:val="000000" w:themeColor="text1"/>
        </w:rPr>
        <w:t>Pricing</w:t>
      </w:r>
      <w:proofErr w:type="spellEnd"/>
      <w:r w:rsidRPr="007B6988">
        <w:rPr>
          <w:color w:val="000000" w:themeColor="text1"/>
        </w:rPr>
        <w:t xml:space="preserve"> </w:t>
      </w:r>
      <w:proofErr w:type="spellStart"/>
      <w:r w:rsidRPr="007B6988">
        <w:rPr>
          <w:color w:val="000000" w:themeColor="text1"/>
        </w:rPr>
        <w:t>Model</w:t>
      </w:r>
      <w:proofErr w:type="spellEnd"/>
      <w:r w:rsidRPr="007B6988">
        <w:rPr>
          <w:color w:val="000000" w:themeColor="text1"/>
        </w:rPr>
        <w:t xml:space="preserve"> -CAPM).“, който е в съответствие с подхода на КЕВР в </w:t>
      </w:r>
      <w:r w:rsidR="00623D94" w:rsidRPr="007B6988">
        <w:rPr>
          <w:color w:val="000000" w:themeColor="text1"/>
        </w:rPr>
        <w:t>ценово решение Ц-</w:t>
      </w:r>
      <w:r w:rsidR="0099482C" w:rsidRPr="007B6988">
        <w:rPr>
          <w:color w:val="000000" w:themeColor="text1"/>
          <w:lang w:val="en-US"/>
        </w:rPr>
        <w:t>18</w:t>
      </w:r>
      <w:r w:rsidR="00623D94" w:rsidRPr="007B6988">
        <w:rPr>
          <w:color w:val="000000" w:themeColor="text1"/>
        </w:rPr>
        <w:t xml:space="preserve"> от 01.07.202</w:t>
      </w:r>
      <w:r w:rsidR="0099482C" w:rsidRPr="007B6988">
        <w:rPr>
          <w:color w:val="000000" w:themeColor="text1"/>
          <w:lang w:val="en-US"/>
        </w:rPr>
        <w:t>2</w:t>
      </w:r>
      <w:r w:rsidR="004E7546" w:rsidRPr="007B6988">
        <w:rPr>
          <w:color w:val="000000" w:themeColor="text1"/>
        </w:rPr>
        <w:t xml:space="preserve"> и е признат от страна на Комисията в ценово решение Ц-</w:t>
      </w:r>
      <w:r w:rsidR="004E7546" w:rsidRPr="007B6988">
        <w:rPr>
          <w:color w:val="000000" w:themeColor="text1"/>
          <w:lang w:val="en-US"/>
        </w:rPr>
        <w:t>1</w:t>
      </w:r>
      <w:r w:rsidR="004E7546" w:rsidRPr="007B6988">
        <w:rPr>
          <w:color w:val="000000" w:themeColor="text1"/>
        </w:rPr>
        <w:t>2 от 01.07.2023</w:t>
      </w:r>
    </w:p>
    <w:p w14:paraId="650571CA" w14:textId="5C93C508" w:rsidR="009242AD" w:rsidRPr="007B6988" w:rsidRDefault="009242AD" w:rsidP="009242AD">
      <w:pPr>
        <w:ind w:left="709"/>
        <w:rPr>
          <w:color w:val="000000" w:themeColor="text1"/>
        </w:rPr>
      </w:pPr>
      <w:r w:rsidRPr="007B6988">
        <w:rPr>
          <w:color w:val="000000" w:themeColor="text1"/>
        </w:rPr>
        <w:t>За определяне на стойностите предлагаме, като източници Българска народна банка и А. Дамодаран.</w:t>
      </w:r>
    </w:p>
    <w:p w14:paraId="0964C655" w14:textId="7EA44116" w:rsidR="009242AD" w:rsidRPr="007B6988" w:rsidRDefault="009242AD" w:rsidP="00CB38EC">
      <w:pPr>
        <w:ind w:left="709"/>
        <w:rPr>
          <w:color w:val="000000" w:themeColor="text1"/>
        </w:rPr>
      </w:pPr>
      <w:r w:rsidRPr="007B6988">
        <w:rPr>
          <w:color w:val="000000" w:themeColor="text1"/>
        </w:rPr>
        <w:t>Стойностите на съответните параметри са, както следва:</w:t>
      </w:r>
    </w:p>
    <w:p w14:paraId="7E61E1A0" w14:textId="0C19A20D" w:rsidR="00B4444F" w:rsidRDefault="00B4444F" w:rsidP="00CB38EC">
      <w:pPr>
        <w:ind w:left="709"/>
      </w:pPr>
    </w:p>
    <w:p w14:paraId="4E6A87FE" w14:textId="67EFE8BF" w:rsidR="00B4444F" w:rsidRDefault="00B4444F" w:rsidP="00CB38EC">
      <w:pPr>
        <w:ind w:left="709"/>
      </w:pPr>
    </w:p>
    <w:p w14:paraId="79C0E08B" w14:textId="777329AE" w:rsidR="00B4444F" w:rsidRDefault="00B4444F" w:rsidP="00CB38EC">
      <w:pPr>
        <w:ind w:left="709"/>
      </w:pPr>
    </w:p>
    <w:p w14:paraId="1812FBB6" w14:textId="2B4F4691" w:rsidR="00B4444F" w:rsidRDefault="00B4444F" w:rsidP="00CB38EC">
      <w:pPr>
        <w:ind w:left="709"/>
      </w:pPr>
    </w:p>
    <w:p w14:paraId="1B52ED2A" w14:textId="5761187B" w:rsidR="00B4444F" w:rsidRDefault="00B4444F" w:rsidP="00CB38EC">
      <w:pPr>
        <w:ind w:left="709"/>
      </w:pPr>
    </w:p>
    <w:p w14:paraId="42F517AD" w14:textId="77777777" w:rsidR="00B4444F" w:rsidRPr="0057086A" w:rsidRDefault="00B4444F" w:rsidP="00CB38EC">
      <w:pPr>
        <w:ind w:left="709"/>
      </w:pPr>
    </w:p>
    <w:p w14:paraId="644E4610" w14:textId="11D921D9" w:rsidR="00CB38EC" w:rsidRPr="0057086A" w:rsidRDefault="00CB38EC" w:rsidP="00CB38EC">
      <w:pPr>
        <w:ind w:left="709"/>
      </w:pPr>
    </w:p>
    <w:p w14:paraId="7A196E50" w14:textId="6A9D8FE2" w:rsidR="009242AD" w:rsidRPr="0057086A" w:rsidRDefault="009242AD" w:rsidP="009242AD">
      <w:pPr>
        <w:ind w:left="709"/>
        <w:rPr>
          <w:b/>
        </w:rPr>
      </w:pPr>
      <w:r w:rsidRPr="0057086A">
        <w:rPr>
          <w:b/>
        </w:rPr>
        <w:t>Безрискова премия</w:t>
      </w:r>
    </w:p>
    <w:p w14:paraId="3CA9DF2F" w14:textId="2C733552" w:rsidR="009242AD" w:rsidRPr="0057086A" w:rsidRDefault="009242AD" w:rsidP="009242AD">
      <w:pPr>
        <w:ind w:left="709"/>
      </w:pPr>
    </w:p>
    <w:p w14:paraId="5BE3EC1C" w14:textId="7F13151C" w:rsidR="009242AD" w:rsidRPr="0057086A" w:rsidRDefault="005A0A75" w:rsidP="009242AD">
      <w:pPr>
        <w:ind w:left="709"/>
      </w:pPr>
      <w:r w:rsidRPr="005A0A75">
        <w:rPr>
          <w:noProof/>
        </w:rPr>
        <w:drawing>
          <wp:anchor distT="0" distB="0" distL="114300" distR="114300" simplePos="0" relativeHeight="251692032" behindDoc="0" locked="0" layoutInCell="1" allowOverlap="1" wp14:anchorId="57D4DA13" wp14:editId="06321164">
            <wp:simplePos x="0" y="0"/>
            <wp:positionH relativeFrom="column">
              <wp:posOffset>289560</wp:posOffset>
            </wp:positionH>
            <wp:positionV relativeFrom="paragraph">
              <wp:posOffset>676275</wp:posOffset>
            </wp:positionV>
            <wp:extent cx="6120130" cy="20929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2092960"/>
                    </a:xfrm>
                    <a:prstGeom prst="rect">
                      <a:avLst/>
                    </a:prstGeom>
                    <a:noFill/>
                    <a:ln>
                      <a:noFill/>
                    </a:ln>
                  </pic:spPr>
                </pic:pic>
              </a:graphicData>
            </a:graphic>
          </wp:anchor>
        </w:drawing>
      </w:r>
      <w:r w:rsidR="009242AD" w:rsidRPr="0057086A">
        <w:t xml:space="preserve">За определянето на </w:t>
      </w:r>
      <w:proofErr w:type="spellStart"/>
      <w:r w:rsidR="009242AD" w:rsidRPr="0057086A">
        <w:t>безрисковата</w:t>
      </w:r>
      <w:proofErr w:type="spellEnd"/>
      <w:r w:rsidR="009242AD" w:rsidRPr="0057086A">
        <w:t xml:space="preserve"> премия е приет дългосрочния лихвен процент (ДЛП) за оценка степента на конвергенция за среднопретеглен за последния 12-месечен период, обявен на сайта на БНБ .</w:t>
      </w:r>
    </w:p>
    <w:p w14:paraId="2D0F5F9D" w14:textId="4AB78FC3" w:rsidR="00477AE3" w:rsidRPr="0057086A" w:rsidRDefault="00477AE3" w:rsidP="009242AD">
      <w:pPr>
        <w:ind w:left="709"/>
      </w:pPr>
    </w:p>
    <w:p w14:paraId="51E5C670" w14:textId="7618B660" w:rsidR="009242AD" w:rsidRPr="00EA3C44" w:rsidRDefault="009242AD" w:rsidP="009242AD">
      <w:pPr>
        <w:ind w:left="709"/>
        <w:rPr>
          <w:color w:val="000000" w:themeColor="text1"/>
        </w:rPr>
      </w:pPr>
      <w:r w:rsidRPr="00EA3C44">
        <w:rPr>
          <w:color w:val="000000" w:themeColor="text1"/>
        </w:rPr>
        <w:t xml:space="preserve">Получената стойност е в размер на </w:t>
      </w:r>
      <w:proofErr w:type="spellStart"/>
      <w:r w:rsidR="00A95C23">
        <w:rPr>
          <w:color w:val="000000" w:themeColor="text1"/>
          <w:lang w:val="en-US"/>
        </w:rPr>
        <w:t>x.xx</w:t>
      </w:r>
      <w:proofErr w:type="spellEnd"/>
      <w:r w:rsidRPr="00EA3C44">
        <w:rPr>
          <w:color w:val="000000" w:themeColor="text1"/>
        </w:rPr>
        <w:t>%</w:t>
      </w:r>
    </w:p>
    <w:p w14:paraId="11EA4335" w14:textId="44445D14" w:rsidR="00477AE3" w:rsidRPr="0057086A" w:rsidRDefault="00477AE3" w:rsidP="009242AD">
      <w:pPr>
        <w:ind w:left="709"/>
      </w:pPr>
    </w:p>
    <w:p w14:paraId="75C066EA" w14:textId="70A08F16" w:rsidR="00B738B4" w:rsidRPr="0057086A" w:rsidRDefault="00B738B4" w:rsidP="009242AD">
      <w:pPr>
        <w:ind w:left="709"/>
        <w:rPr>
          <w:color w:val="000000" w:themeColor="text1"/>
        </w:rPr>
      </w:pPr>
    </w:p>
    <w:p w14:paraId="055F1E87" w14:textId="66A0C7C3" w:rsidR="009242AD" w:rsidRPr="0057086A" w:rsidRDefault="009242AD" w:rsidP="009242AD">
      <w:pPr>
        <w:ind w:left="709"/>
        <w:rPr>
          <w:color w:val="000000" w:themeColor="text1"/>
        </w:rPr>
      </w:pPr>
      <w:r w:rsidRPr="0057086A">
        <w:rPr>
          <w:color w:val="000000" w:themeColor="text1"/>
        </w:rPr>
        <w:t xml:space="preserve">Източник: </w:t>
      </w:r>
      <w:r w:rsidR="00C66288" w:rsidRPr="0057086A">
        <w:rPr>
          <w:color w:val="000000" w:themeColor="text1"/>
        </w:rPr>
        <w:t>https://www.bnb.bg/Statistics/StMonetaryInterestRate/StInterestRate/StIRInterestRate/index.htm</w:t>
      </w:r>
    </w:p>
    <w:p w14:paraId="12A13D4C" w14:textId="464ABDD1" w:rsidR="009242AD" w:rsidRPr="0057086A" w:rsidRDefault="009242AD" w:rsidP="00023556">
      <w:pPr>
        <w:ind w:left="709"/>
      </w:pPr>
    </w:p>
    <w:p w14:paraId="4EB95344" w14:textId="77777777" w:rsidR="009242AD" w:rsidRPr="0057086A" w:rsidRDefault="009242AD" w:rsidP="009242AD">
      <w:pPr>
        <w:ind w:left="709"/>
        <w:rPr>
          <w:b/>
        </w:rPr>
      </w:pPr>
      <w:r w:rsidRPr="0057086A">
        <w:rPr>
          <w:b/>
        </w:rPr>
        <w:t>β коефициент на активите</w:t>
      </w:r>
    </w:p>
    <w:p w14:paraId="36BC3C8F" w14:textId="77777777" w:rsidR="009242AD" w:rsidRPr="009F5675" w:rsidRDefault="009242AD" w:rsidP="009242AD">
      <w:pPr>
        <w:ind w:left="709"/>
        <w:rPr>
          <w:color w:val="00B050"/>
        </w:rPr>
      </w:pPr>
    </w:p>
    <w:p w14:paraId="6E6C0028" w14:textId="5960B9BC" w:rsidR="009242AD" w:rsidRPr="000A2D97" w:rsidRDefault="009242AD" w:rsidP="009242AD">
      <w:pPr>
        <w:ind w:left="709"/>
        <w:rPr>
          <w:color w:val="000000" w:themeColor="text1"/>
        </w:rPr>
      </w:pPr>
      <w:r w:rsidRPr="000A2D97">
        <w:rPr>
          <w:color w:val="000000" w:themeColor="text1"/>
        </w:rPr>
        <w:t>Коефициентът β отчита както промишления риск, така и риска за структурата на капитала. Отразява колебанията на дадена промишленост спрямо един многообразен и диверсифициран пазар. За изчисляването на коефициента β се определя група от аналогични предприятия, представляващи сферата на дейност на дружеството. За да се гарантира представителността на група от аналогични предприятия, е необходим подходящ брой аналогични дружества. Поради ограничения брой листвани български дружества в областта на производството и преноса на топлинна енергия е избрана група от аналогични дружества от европейски енергийни компании.</w:t>
      </w:r>
    </w:p>
    <w:p w14:paraId="404EDFF0" w14:textId="59A5ED85" w:rsidR="009242AD" w:rsidRPr="0057086A" w:rsidRDefault="009242AD" w:rsidP="009242AD">
      <w:pPr>
        <w:ind w:left="709"/>
      </w:pPr>
    </w:p>
    <w:p w14:paraId="2CF1D920" w14:textId="05513253" w:rsidR="009242AD" w:rsidRPr="00A95C23" w:rsidRDefault="009242AD" w:rsidP="009242AD">
      <w:pPr>
        <w:ind w:left="709"/>
        <w:rPr>
          <w:color w:val="000000" w:themeColor="text1"/>
          <w:lang w:val="en-US"/>
        </w:rPr>
      </w:pPr>
      <w:r w:rsidRPr="000A2D97">
        <w:rPr>
          <w:color w:val="000000" w:themeColor="text1"/>
        </w:rPr>
        <w:t xml:space="preserve">Използвани са данни от актуалната публикация на </w:t>
      </w:r>
      <w:proofErr w:type="spellStart"/>
      <w:r w:rsidRPr="000A2D97">
        <w:rPr>
          <w:color w:val="000000" w:themeColor="text1"/>
        </w:rPr>
        <w:t>Aswath</w:t>
      </w:r>
      <w:proofErr w:type="spellEnd"/>
      <w:r w:rsidRPr="000A2D97">
        <w:rPr>
          <w:color w:val="000000" w:themeColor="text1"/>
        </w:rPr>
        <w:t xml:space="preserve"> </w:t>
      </w:r>
      <w:proofErr w:type="spellStart"/>
      <w:r w:rsidRPr="000A2D97">
        <w:rPr>
          <w:color w:val="000000" w:themeColor="text1"/>
        </w:rPr>
        <w:t>Damodaran</w:t>
      </w:r>
      <w:proofErr w:type="spellEnd"/>
      <w:r w:rsidRPr="000A2D97">
        <w:rPr>
          <w:color w:val="000000" w:themeColor="text1"/>
        </w:rPr>
        <w:t xml:space="preserve"> (източник: http://pages.stern.nyu.edu/~adamodar/), според която </w:t>
      </w:r>
      <w:proofErr w:type="spellStart"/>
      <w:r w:rsidRPr="000A2D97">
        <w:rPr>
          <w:color w:val="000000" w:themeColor="text1"/>
        </w:rPr>
        <w:t>безлостовият</w:t>
      </w:r>
      <w:proofErr w:type="spellEnd"/>
      <w:r w:rsidRPr="000A2D97">
        <w:rPr>
          <w:color w:val="000000" w:themeColor="text1"/>
        </w:rPr>
        <w:t xml:space="preserve"> β коефициент за дружествата в енергийния сектор в Европа е </w:t>
      </w:r>
      <w:proofErr w:type="spellStart"/>
      <w:r w:rsidR="00A95C23">
        <w:rPr>
          <w:color w:val="000000" w:themeColor="text1"/>
          <w:lang w:val="en-US"/>
        </w:rPr>
        <w:t>x.xx</w:t>
      </w:r>
      <w:proofErr w:type="spellEnd"/>
    </w:p>
    <w:p w14:paraId="54B1E5CE" w14:textId="63244483" w:rsidR="00C26F5D" w:rsidRPr="0057086A" w:rsidRDefault="009F5675" w:rsidP="009242AD">
      <w:pPr>
        <w:ind w:left="709"/>
        <w:rPr>
          <w:lang w:val="en-US"/>
        </w:rPr>
      </w:pPr>
      <w:r w:rsidRPr="009F5675">
        <w:rPr>
          <w:noProof/>
        </w:rPr>
        <w:drawing>
          <wp:anchor distT="0" distB="0" distL="114300" distR="114300" simplePos="0" relativeHeight="251693056" behindDoc="0" locked="0" layoutInCell="1" allowOverlap="1" wp14:anchorId="05A76F72" wp14:editId="12590B15">
            <wp:simplePos x="0" y="0"/>
            <wp:positionH relativeFrom="column">
              <wp:posOffset>232410</wp:posOffset>
            </wp:positionH>
            <wp:positionV relativeFrom="paragraph">
              <wp:posOffset>197485</wp:posOffset>
            </wp:positionV>
            <wp:extent cx="6120130" cy="154114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1541145"/>
                    </a:xfrm>
                    <a:prstGeom prst="rect">
                      <a:avLst/>
                    </a:prstGeom>
                    <a:noFill/>
                    <a:ln>
                      <a:noFill/>
                    </a:ln>
                  </pic:spPr>
                </pic:pic>
              </a:graphicData>
            </a:graphic>
          </wp:anchor>
        </w:drawing>
      </w:r>
    </w:p>
    <w:p w14:paraId="78DC776E" w14:textId="04CA6228" w:rsidR="009242AD" w:rsidRPr="0057086A" w:rsidRDefault="009242AD" w:rsidP="009242AD">
      <w:pPr>
        <w:ind w:left="709"/>
      </w:pPr>
    </w:p>
    <w:p w14:paraId="45230F14" w14:textId="414697B0" w:rsidR="009242AD" w:rsidRPr="000A2D97" w:rsidRDefault="009242AD" w:rsidP="009242AD">
      <w:pPr>
        <w:ind w:left="709"/>
        <w:rPr>
          <w:color w:val="000000" w:themeColor="text1"/>
        </w:rPr>
      </w:pPr>
      <w:proofErr w:type="spellStart"/>
      <w:r w:rsidRPr="000A2D97">
        <w:rPr>
          <w:color w:val="000000" w:themeColor="text1"/>
        </w:rPr>
        <w:t>Безлостовият</w:t>
      </w:r>
      <w:proofErr w:type="spellEnd"/>
      <w:r w:rsidRPr="000A2D97">
        <w:rPr>
          <w:color w:val="000000" w:themeColor="text1"/>
        </w:rPr>
        <w:t xml:space="preserve"> отраслов β коефициент, при </w:t>
      </w:r>
      <w:r w:rsidR="00FA04EB" w:rsidRPr="000A2D97">
        <w:rPr>
          <w:color w:val="000000" w:themeColor="text1"/>
        </w:rPr>
        <w:t xml:space="preserve">целева структура на капитала за регулаторни цели капиталова структура </w:t>
      </w:r>
      <w:r w:rsidRPr="000A2D97">
        <w:rPr>
          <w:color w:val="000000" w:themeColor="text1"/>
        </w:rPr>
        <w:t>(</w:t>
      </w:r>
      <w:proofErr w:type="spellStart"/>
      <w:r w:rsidR="00A95C23">
        <w:rPr>
          <w:color w:val="000000" w:themeColor="text1"/>
          <w:lang w:val="en-US"/>
        </w:rPr>
        <w:t>xx,x</w:t>
      </w:r>
      <w:proofErr w:type="spellEnd"/>
      <w:r w:rsidRPr="000A2D97">
        <w:rPr>
          <w:color w:val="000000" w:themeColor="text1"/>
        </w:rPr>
        <w:t>/</w:t>
      </w:r>
      <w:proofErr w:type="spellStart"/>
      <w:r w:rsidR="00A95C23">
        <w:rPr>
          <w:color w:val="000000" w:themeColor="text1"/>
          <w:lang w:val="en-US"/>
        </w:rPr>
        <w:t>xx,x</w:t>
      </w:r>
      <w:proofErr w:type="spellEnd"/>
      <w:r w:rsidRPr="000A2D97">
        <w:rPr>
          <w:color w:val="000000" w:themeColor="text1"/>
        </w:rPr>
        <w:t>) и размера на данъчната ставка</w:t>
      </w:r>
      <w:r w:rsidR="00FA04EB" w:rsidRPr="000A2D97">
        <w:rPr>
          <w:color w:val="000000" w:themeColor="text1"/>
        </w:rPr>
        <w:t xml:space="preserve"> 10%</w:t>
      </w:r>
      <w:r w:rsidRPr="000A2D97">
        <w:rPr>
          <w:color w:val="000000" w:themeColor="text1"/>
        </w:rPr>
        <w:t xml:space="preserve">, се преобразува в лостов β коефициент със стойност – </w:t>
      </w:r>
      <w:proofErr w:type="spellStart"/>
      <w:r w:rsidR="00A95C23">
        <w:rPr>
          <w:color w:val="000000" w:themeColor="text1"/>
          <w:lang w:val="en-US"/>
        </w:rPr>
        <w:t>x.xxx</w:t>
      </w:r>
      <w:proofErr w:type="spellEnd"/>
      <w:r w:rsidRPr="000A2D97">
        <w:rPr>
          <w:color w:val="000000" w:themeColor="text1"/>
        </w:rPr>
        <w:t>.</w:t>
      </w:r>
    </w:p>
    <w:p w14:paraId="6D06546B" w14:textId="77777777" w:rsidR="009242AD" w:rsidRPr="0057086A" w:rsidRDefault="009242AD" w:rsidP="009242AD">
      <w:pPr>
        <w:ind w:left="709"/>
        <w:rPr>
          <w:color w:val="000000" w:themeColor="text1"/>
        </w:rPr>
      </w:pPr>
    </w:p>
    <w:p w14:paraId="26E18B21" w14:textId="77777777" w:rsidR="009242AD" w:rsidRPr="0057086A" w:rsidRDefault="009242AD" w:rsidP="009242AD">
      <w:pPr>
        <w:ind w:left="709"/>
        <w:rPr>
          <w:color w:val="000000" w:themeColor="text1"/>
        </w:rPr>
      </w:pPr>
      <w:r w:rsidRPr="0057086A">
        <w:rPr>
          <w:color w:val="000000" w:themeColor="text1"/>
        </w:rPr>
        <w:t>Източник: http://people.stern.nyu.edu/adamodar/New_Home_Page/datacurrent.html</w:t>
      </w:r>
    </w:p>
    <w:p w14:paraId="35A32703" w14:textId="53F8ADF2" w:rsidR="009242AD" w:rsidRPr="0057086A" w:rsidRDefault="009242AD" w:rsidP="009242AD">
      <w:pPr>
        <w:ind w:left="709"/>
      </w:pPr>
    </w:p>
    <w:p w14:paraId="06360119" w14:textId="77777777" w:rsidR="00F1036A" w:rsidRPr="0057086A" w:rsidRDefault="00F1036A" w:rsidP="009242AD">
      <w:pPr>
        <w:ind w:left="709"/>
      </w:pPr>
    </w:p>
    <w:p w14:paraId="4F1C7681" w14:textId="77777777" w:rsidR="009242AD" w:rsidRPr="0057086A" w:rsidRDefault="009242AD" w:rsidP="009242AD">
      <w:pPr>
        <w:ind w:left="709"/>
        <w:rPr>
          <w:b/>
        </w:rPr>
      </w:pPr>
      <w:r w:rsidRPr="0057086A">
        <w:rPr>
          <w:b/>
        </w:rPr>
        <w:t>Пазарна рискова премия</w:t>
      </w:r>
    </w:p>
    <w:p w14:paraId="11FB1998" w14:textId="77777777" w:rsidR="009242AD" w:rsidRPr="0057086A" w:rsidRDefault="009242AD" w:rsidP="009242AD">
      <w:pPr>
        <w:ind w:left="709"/>
      </w:pPr>
    </w:p>
    <w:p w14:paraId="691190D1" w14:textId="4DE1E136" w:rsidR="009242AD" w:rsidRPr="0057086A" w:rsidRDefault="009242AD" w:rsidP="009242AD">
      <w:pPr>
        <w:ind w:left="709"/>
        <w:rPr>
          <w:color w:val="000000" w:themeColor="text1"/>
        </w:rPr>
      </w:pPr>
      <w:r w:rsidRPr="0057086A">
        <w:t xml:space="preserve">Пазарната рискова премия представлява рисковата премия за инвестиции в рисково пазарно портфолио, вместо в </w:t>
      </w:r>
      <w:proofErr w:type="spellStart"/>
      <w:r w:rsidRPr="0057086A">
        <w:t>безрискова</w:t>
      </w:r>
      <w:proofErr w:type="spellEnd"/>
      <w:r w:rsidRPr="0057086A">
        <w:t xml:space="preserve"> облигация. Тя представя системния риск, който не може да бъде елиминиран чрез диверсификация. Източници за определяне на пазарната рискова премия са публикациите на </w:t>
      </w:r>
      <w:proofErr w:type="spellStart"/>
      <w:r w:rsidRPr="0057086A">
        <w:t>Aswath</w:t>
      </w:r>
      <w:proofErr w:type="spellEnd"/>
      <w:r w:rsidRPr="0057086A">
        <w:t xml:space="preserve"> </w:t>
      </w:r>
      <w:proofErr w:type="spellStart"/>
      <w:r w:rsidRPr="0057086A">
        <w:t>Damodaran</w:t>
      </w:r>
      <w:proofErr w:type="spellEnd"/>
      <w:r w:rsidRPr="0057086A">
        <w:t xml:space="preserve">, който препоръчва стойност </w:t>
      </w:r>
      <w:r w:rsidRPr="0057086A">
        <w:rPr>
          <w:color w:val="000000" w:themeColor="text1"/>
        </w:rPr>
        <w:t xml:space="preserve">от </w:t>
      </w:r>
      <w:proofErr w:type="spellStart"/>
      <w:r w:rsidR="00A95C23">
        <w:rPr>
          <w:color w:val="000000" w:themeColor="text1"/>
          <w:lang w:val="en-US"/>
        </w:rPr>
        <w:t>x.xx</w:t>
      </w:r>
      <w:proofErr w:type="spellEnd"/>
      <w:r w:rsidRPr="0057086A">
        <w:rPr>
          <w:color w:val="000000" w:themeColor="text1"/>
        </w:rPr>
        <w:t xml:space="preserve">% за развитите пазари и </w:t>
      </w:r>
      <w:proofErr w:type="spellStart"/>
      <w:r w:rsidRPr="0057086A">
        <w:rPr>
          <w:color w:val="000000" w:themeColor="text1"/>
        </w:rPr>
        <w:t>странови</w:t>
      </w:r>
      <w:proofErr w:type="spellEnd"/>
      <w:r w:rsidRPr="0057086A">
        <w:rPr>
          <w:color w:val="000000" w:themeColor="text1"/>
        </w:rPr>
        <w:t xml:space="preserve"> риск за България </w:t>
      </w:r>
      <w:proofErr w:type="spellStart"/>
      <w:r w:rsidR="00A95C23">
        <w:rPr>
          <w:color w:val="000000" w:themeColor="text1"/>
          <w:lang w:val="en-US"/>
        </w:rPr>
        <w:t>x.xx</w:t>
      </w:r>
      <w:proofErr w:type="spellEnd"/>
      <w:r w:rsidRPr="0057086A">
        <w:rPr>
          <w:color w:val="000000" w:themeColor="text1"/>
        </w:rPr>
        <w:t>%</w:t>
      </w:r>
    </w:p>
    <w:p w14:paraId="61ED8F65" w14:textId="1C0D4492" w:rsidR="009242AD" w:rsidRPr="0057086A" w:rsidRDefault="009F5675" w:rsidP="009242AD">
      <w:pPr>
        <w:ind w:left="709"/>
      </w:pPr>
      <w:r w:rsidRPr="009F5675">
        <w:rPr>
          <w:noProof/>
        </w:rPr>
        <w:drawing>
          <wp:anchor distT="0" distB="0" distL="114300" distR="114300" simplePos="0" relativeHeight="251694080" behindDoc="0" locked="0" layoutInCell="1" allowOverlap="1" wp14:anchorId="6E80F08D" wp14:editId="0E7895D5">
            <wp:simplePos x="0" y="0"/>
            <wp:positionH relativeFrom="column">
              <wp:posOffset>270510</wp:posOffset>
            </wp:positionH>
            <wp:positionV relativeFrom="paragraph">
              <wp:posOffset>222885</wp:posOffset>
            </wp:positionV>
            <wp:extent cx="6120130" cy="91757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917575"/>
                    </a:xfrm>
                    <a:prstGeom prst="rect">
                      <a:avLst/>
                    </a:prstGeom>
                    <a:noFill/>
                    <a:ln>
                      <a:noFill/>
                    </a:ln>
                  </pic:spPr>
                </pic:pic>
              </a:graphicData>
            </a:graphic>
          </wp:anchor>
        </w:drawing>
      </w:r>
    </w:p>
    <w:p w14:paraId="71A2FDFD" w14:textId="58F076E0" w:rsidR="009242AD" w:rsidRPr="0057086A" w:rsidRDefault="009242AD" w:rsidP="009242AD">
      <w:pPr>
        <w:ind w:left="709"/>
      </w:pPr>
    </w:p>
    <w:p w14:paraId="5F706CA0" w14:textId="5FB899D4" w:rsidR="009242AD" w:rsidRPr="000A2D97" w:rsidRDefault="009242AD" w:rsidP="009242AD">
      <w:pPr>
        <w:ind w:left="709"/>
        <w:rPr>
          <w:color w:val="000000" w:themeColor="text1"/>
        </w:rPr>
      </w:pPr>
      <w:r w:rsidRPr="000A2D97">
        <w:rPr>
          <w:color w:val="000000" w:themeColor="text1"/>
        </w:rPr>
        <w:t xml:space="preserve">Сборът от стойностите на системния риск и специфичния държавен риск за България </w:t>
      </w:r>
    </w:p>
    <w:p w14:paraId="77042817" w14:textId="5290BAFA" w:rsidR="009242AD" w:rsidRPr="000A2D97" w:rsidRDefault="009242AD" w:rsidP="009242AD">
      <w:pPr>
        <w:ind w:left="709"/>
        <w:rPr>
          <w:color w:val="000000" w:themeColor="text1"/>
        </w:rPr>
      </w:pPr>
      <w:r w:rsidRPr="000A2D97">
        <w:rPr>
          <w:color w:val="000000" w:themeColor="text1"/>
        </w:rPr>
        <w:t>представляв</w:t>
      </w:r>
      <w:r w:rsidR="00820732" w:rsidRPr="000A2D97">
        <w:rPr>
          <w:color w:val="000000" w:themeColor="text1"/>
        </w:rPr>
        <w:t xml:space="preserve">а пазарната рискова премия от </w:t>
      </w:r>
      <w:proofErr w:type="spellStart"/>
      <w:r w:rsidR="00A95C23">
        <w:rPr>
          <w:color w:val="000000" w:themeColor="text1"/>
          <w:lang w:val="en-US"/>
        </w:rPr>
        <w:t>x,xx</w:t>
      </w:r>
      <w:proofErr w:type="spellEnd"/>
      <w:r w:rsidRPr="000A2D97">
        <w:rPr>
          <w:color w:val="000000" w:themeColor="text1"/>
        </w:rPr>
        <w:t>%.</w:t>
      </w:r>
    </w:p>
    <w:p w14:paraId="7582DEC2" w14:textId="77777777" w:rsidR="009242AD" w:rsidRPr="0057086A" w:rsidRDefault="009242AD" w:rsidP="009242AD">
      <w:pPr>
        <w:ind w:left="709"/>
        <w:rPr>
          <w:color w:val="000000" w:themeColor="text1"/>
        </w:rPr>
      </w:pPr>
    </w:p>
    <w:p w14:paraId="38A8A19A" w14:textId="77777777" w:rsidR="009242AD" w:rsidRPr="0057086A" w:rsidRDefault="009242AD" w:rsidP="009242AD">
      <w:pPr>
        <w:ind w:left="709"/>
        <w:rPr>
          <w:color w:val="000000" w:themeColor="text1"/>
        </w:rPr>
      </w:pPr>
      <w:r w:rsidRPr="0057086A">
        <w:rPr>
          <w:color w:val="000000" w:themeColor="text1"/>
        </w:rPr>
        <w:t>Източник: http://people.stern.nyu.edu/adamodar/New_Home_Page/datafile/ctryprem.html</w:t>
      </w:r>
    </w:p>
    <w:p w14:paraId="384C64CA" w14:textId="77777777" w:rsidR="009242AD" w:rsidRPr="0057086A" w:rsidRDefault="009242AD" w:rsidP="009242AD">
      <w:pPr>
        <w:ind w:left="709"/>
      </w:pPr>
    </w:p>
    <w:p w14:paraId="65C37D09" w14:textId="77777777" w:rsidR="009242AD" w:rsidRPr="0057086A" w:rsidRDefault="009242AD" w:rsidP="009242AD">
      <w:pPr>
        <w:ind w:left="709"/>
        <w:rPr>
          <w:b/>
        </w:rPr>
      </w:pPr>
      <w:r w:rsidRPr="0057086A">
        <w:rPr>
          <w:b/>
        </w:rPr>
        <w:t>Калкулация</w:t>
      </w:r>
    </w:p>
    <w:p w14:paraId="17A0B271" w14:textId="77777777" w:rsidR="009242AD" w:rsidRPr="0057086A" w:rsidRDefault="009242AD" w:rsidP="009242AD">
      <w:pPr>
        <w:ind w:left="709"/>
      </w:pPr>
    </w:p>
    <w:p w14:paraId="0AEA494F" w14:textId="77777777" w:rsidR="009242AD" w:rsidRPr="00077FFB" w:rsidRDefault="009242AD" w:rsidP="009242AD">
      <w:pPr>
        <w:ind w:left="709"/>
        <w:rPr>
          <w:color w:val="000000" w:themeColor="text1"/>
        </w:rPr>
      </w:pPr>
      <w:r w:rsidRPr="00077FFB">
        <w:rPr>
          <w:color w:val="000000" w:themeColor="text1"/>
        </w:rPr>
        <w:t xml:space="preserve">Съгласно формулата определена от модела CAPM  </w:t>
      </w:r>
    </w:p>
    <w:p w14:paraId="590B0E46" w14:textId="77777777" w:rsidR="009242AD" w:rsidRPr="00077FFB" w:rsidRDefault="009242AD" w:rsidP="009242AD">
      <w:pPr>
        <w:ind w:left="709"/>
        <w:rPr>
          <w:color w:val="000000" w:themeColor="text1"/>
        </w:rPr>
      </w:pPr>
      <w:proofErr w:type="spellStart"/>
      <w:r w:rsidRPr="00077FFB">
        <w:rPr>
          <w:color w:val="000000" w:themeColor="text1"/>
        </w:rPr>
        <w:t>НВск</w:t>
      </w:r>
      <w:proofErr w:type="spellEnd"/>
      <w:r w:rsidRPr="00077FFB">
        <w:rPr>
          <w:color w:val="000000" w:themeColor="text1"/>
        </w:rPr>
        <w:t xml:space="preserve"> = Безрискова премия + бета коефициент на активите * Пазарна рискова премия</w:t>
      </w:r>
    </w:p>
    <w:p w14:paraId="182F8493" w14:textId="5A90E93C" w:rsidR="009242AD" w:rsidRPr="00077FFB" w:rsidRDefault="009242AD" w:rsidP="009242AD">
      <w:pPr>
        <w:ind w:left="709"/>
        <w:rPr>
          <w:color w:val="000000" w:themeColor="text1"/>
        </w:rPr>
      </w:pPr>
      <w:r w:rsidRPr="00077FFB">
        <w:rPr>
          <w:color w:val="000000" w:themeColor="text1"/>
        </w:rPr>
        <w:t xml:space="preserve">Резултатът при прилагането на определените по-горе параметри е норма на възвръщаемост на собствения капитал в размер на </w:t>
      </w:r>
      <w:proofErr w:type="spellStart"/>
      <w:r w:rsidR="00A95C23">
        <w:rPr>
          <w:color w:val="000000" w:themeColor="text1"/>
          <w:lang w:val="en-US"/>
        </w:rPr>
        <w:t>x,xx</w:t>
      </w:r>
      <w:proofErr w:type="spellEnd"/>
      <w:r w:rsidRPr="00077FFB">
        <w:rPr>
          <w:color w:val="000000" w:themeColor="text1"/>
        </w:rPr>
        <w:t>%</w:t>
      </w:r>
    </w:p>
    <w:p w14:paraId="71FDB984" w14:textId="0EF04A10" w:rsidR="009242AD" w:rsidRPr="00077FFB" w:rsidRDefault="009242AD" w:rsidP="009242AD">
      <w:pPr>
        <w:ind w:left="709"/>
        <w:rPr>
          <w:color w:val="000000" w:themeColor="text1"/>
        </w:rPr>
      </w:pPr>
      <w:proofErr w:type="spellStart"/>
      <w:r w:rsidRPr="00077FFB">
        <w:rPr>
          <w:color w:val="000000" w:themeColor="text1"/>
        </w:rPr>
        <w:t>НВск</w:t>
      </w:r>
      <w:proofErr w:type="spellEnd"/>
      <w:r w:rsidRPr="00077FFB">
        <w:rPr>
          <w:color w:val="000000" w:themeColor="text1"/>
        </w:rPr>
        <w:t xml:space="preserve"> = </w:t>
      </w:r>
      <w:proofErr w:type="spellStart"/>
      <w:r w:rsidR="00A95C23">
        <w:rPr>
          <w:color w:val="000000" w:themeColor="text1"/>
          <w:lang w:val="en-US"/>
        </w:rPr>
        <w:t>x.xx</w:t>
      </w:r>
      <w:proofErr w:type="spellEnd"/>
      <w:r w:rsidRPr="00077FFB">
        <w:rPr>
          <w:color w:val="000000" w:themeColor="text1"/>
        </w:rPr>
        <w:t xml:space="preserve">% + </w:t>
      </w:r>
      <w:proofErr w:type="spellStart"/>
      <w:r w:rsidR="00A95C23">
        <w:rPr>
          <w:color w:val="000000" w:themeColor="text1"/>
          <w:lang w:val="en-US"/>
        </w:rPr>
        <w:t>x.xxx</w:t>
      </w:r>
      <w:proofErr w:type="spellEnd"/>
      <w:r w:rsidRPr="00077FFB">
        <w:rPr>
          <w:color w:val="000000" w:themeColor="text1"/>
        </w:rPr>
        <w:t xml:space="preserve"> * </w:t>
      </w:r>
      <w:proofErr w:type="spellStart"/>
      <w:r w:rsidR="00A95C23">
        <w:rPr>
          <w:color w:val="000000" w:themeColor="text1"/>
          <w:lang w:val="en-US"/>
        </w:rPr>
        <w:t>x.xx</w:t>
      </w:r>
      <w:proofErr w:type="spellEnd"/>
      <w:r w:rsidRPr="00077FFB">
        <w:rPr>
          <w:color w:val="000000" w:themeColor="text1"/>
        </w:rPr>
        <w:t xml:space="preserve">% = </w:t>
      </w:r>
      <w:proofErr w:type="spellStart"/>
      <w:r w:rsidR="00A95C23">
        <w:rPr>
          <w:color w:val="000000" w:themeColor="text1"/>
          <w:lang w:val="en-US"/>
        </w:rPr>
        <w:t>x.xx</w:t>
      </w:r>
      <w:proofErr w:type="spellEnd"/>
      <w:r w:rsidRPr="00077FFB">
        <w:rPr>
          <w:color w:val="000000" w:themeColor="text1"/>
        </w:rPr>
        <w:t>%</w:t>
      </w:r>
    </w:p>
    <w:p w14:paraId="2DC2ED0C" w14:textId="77777777" w:rsidR="009242AD" w:rsidRPr="00077FFB" w:rsidRDefault="009242AD" w:rsidP="009242AD">
      <w:pPr>
        <w:ind w:left="709"/>
        <w:rPr>
          <w:color w:val="000000" w:themeColor="text1"/>
        </w:rPr>
      </w:pPr>
    </w:p>
    <w:p w14:paraId="2A0CB503" w14:textId="61420286" w:rsidR="009242AD" w:rsidRPr="00077FFB" w:rsidRDefault="009C7312" w:rsidP="00226ECF">
      <w:pPr>
        <w:pStyle w:val="ListParagraph"/>
        <w:numPr>
          <w:ilvl w:val="0"/>
          <w:numId w:val="13"/>
        </w:numPr>
        <w:rPr>
          <w:rFonts w:ascii="Frutiger Next for EVN Light" w:hAnsi="Frutiger Next for EVN Light"/>
          <w:color w:val="000000" w:themeColor="text1"/>
          <w:sz w:val="19"/>
          <w:szCs w:val="19"/>
          <w:lang w:val="bg-BG"/>
        </w:rPr>
      </w:pPr>
      <w:r w:rsidRPr="00077FFB">
        <w:rPr>
          <w:rFonts w:ascii="Frutiger Next for EVN Light" w:hAnsi="Frutiger Next for EVN Light"/>
          <w:color w:val="000000" w:themeColor="text1"/>
          <w:sz w:val="19"/>
          <w:szCs w:val="19"/>
          <w:lang w:val="bg-BG"/>
        </w:rPr>
        <w:t>Норма на възвръщаемост на привлечения капитал</w:t>
      </w:r>
    </w:p>
    <w:p w14:paraId="30F77D3F" w14:textId="67E8E65D" w:rsidR="005F16AF" w:rsidRPr="00077FFB" w:rsidRDefault="003F675B" w:rsidP="006179E7">
      <w:pPr>
        <w:pStyle w:val="ListParagraph"/>
        <w:ind w:left="709"/>
        <w:rPr>
          <w:rFonts w:ascii="Frutiger Next for EVN Light" w:eastAsia="Frutiger Next for EVN Light" w:hAnsi="Frutiger Next for EVN Light"/>
          <w:color w:val="000000" w:themeColor="text1"/>
          <w:spacing w:val="4"/>
          <w:sz w:val="19"/>
          <w:szCs w:val="19"/>
          <w:lang w:val="bg-BG"/>
        </w:rPr>
      </w:pPr>
      <w:r w:rsidRPr="00077FFB">
        <w:rPr>
          <w:rFonts w:ascii="Frutiger Next for EVN Light" w:eastAsia="Frutiger Next for EVN Light" w:hAnsi="Frutiger Next for EVN Light"/>
          <w:color w:val="000000" w:themeColor="text1"/>
          <w:spacing w:val="4"/>
          <w:sz w:val="19"/>
          <w:szCs w:val="19"/>
          <w:lang w:val="bg-BG"/>
        </w:rPr>
        <w:t xml:space="preserve">Цената на привлечения капитал представлява сумата от </w:t>
      </w:r>
      <w:proofErr w:type="spellStart"/>
      <w:r w:rsidRPr="00077FFB">
        <w:rPr>
          <w:rFonts w:ascii="Frutiger Next for EVN Light" w:eastAsia="Frutiger Next for EVN Light" w:hAnsi="Frutiger Next for EVN Light"/>
          <w:color w:val="000000" w:themeColor="text1"/>
          <w:spacing w:val="4"/>
          <w:sz w:val="19"/>
          <w:szCs w:val="19"/>
          <w:lang w:val="bg-BG"/>
        </w:rPr>
        <w:t>безрисковата</w:t>
      </w:r>
      <w:proofErr w:type="spellEnd"/>
      <w:r w:rsidRPr="00077FFB">
        <w:rPr>
          <w:rFonts w:ascii="Frutiger Next for EVN Light" w:eastAsia="Frutiger Next for EVN Light" w:hAnsi="Frutiger Next for EVN Light"/>
          <w:color w:val="000000" w:themeColor="text1"/>
          <w:spacing w:val="4"/>
          <w:sz w:val="19"/>
          <w:szCs w:val="19"/>
          <w:lang w:val="bg-BG"/>
        </w:rPr>
        <w:t xml:space="preserve"> премия и рейтинговия корпоративен </w:t>
      </w:r>
      <w:proofErr w:type="spellStart"/>
      <w:r w:rsidRPr="00077FFB">
        <w:rPr>
          <w:rFonts w:ascii="Frutiger Next for EVN Light" w:eastAsia="Frutiger Next for EVN Light" w:hAnsi="Frutiger Next for EVN Light"/>
          <w:color w:val="000000" w:themeColor="text1"/>
          <w:spacing w:val="4"/>
          <w:sz w:val="19"/>
          <w:szCs w:val="19"/>
          <w:lang w:val="bg-BG"/>
        </w:rPr>
        <w:t>спред</w:t>
      </w:r>
      <w:proofErr w:type="spellEnd"/>
      <w:r w:rsidRPr="00077FFB">
        <w:rPr>
          <w:rFonts w:ascii="Frutiger Next for EVN Light" w:eastAsia="Frutiger Next for EVN Light" w:hAnsi="Frutiger Next for EVN Light"/>
          <w:color w:val="000000" w:themeColor="text1"/>
          <w:spacing w:val="4"/>
          <w:sz w:val="19"/>
          <w:szCs w:val="19"/>
          <w:lang w:val="bg-BG"/>
        </w:rPr>
        <w:t xml:space="preserve">, който се явява допълнителната премия за покриване на специфичния риск. Оценката на рисковия профил е база при определяне на рейтинговия корпоративен </w:t>
      </w:r>
      <w:proofErr w:type="spellStart"/>
      <w:r w:rsidRPr="00077FFB">
        <w:rPr>
          <w:rFonts w:ascii="Frutiger Next for EVN Light" w:eastAsia="Frutiger Next for EVN Light" w:hAnsi="Frutiger Next for EVN Light"/>
          <w:color w:val="000000" w:themeColor="text1"/>
          <w:spacing w:val="4"/>
          <w:sz w:val="19"/>
          <w:szCs w:val="19"/>
          <w:lang w:val="bg-BG"/>
        </w:rPr>
        <w:t>спред</w:t>
      </w:r>
      <w:proofErr w:type="spellEnd"/>
      <w:r w:rsidRPr="00077FFB">
        <w:rPr>
          <w:rFonts w:ascii="Frutiger Next for EVN Light" w:eastAsia="Frutiger Next for EVN Light" w:hAnsi="Frutiger Next for EVN Light"/>
          <w:color w:val="000000" w:themeColor="text1"/>
          <w:spacing w:val="4"/>
          <w:sz w:val="19"/>
          <w:szCs w:val="19"/>
          <w:lang w:val="bg-BG"/>
        </w:rPr>
        <w:t xml:space="preserve">. Като международен стандарт се използва кредитният рейтинг, тъй като той отразява достоверна оценка на риска от външна агенция. Използваната стойност на рейтинговия корпоративен </w:t>
      </w:r>
      <w:proofErr w:type="spellStart"/>
      <w:r w:rsidRPr="00077FFB">
        <w:rPr>
          <w:rFonts w:ascii="Frutiger Next for EVN Light" w:eastAsia="Frutiger Next for EVN Light" w:hAnsi="Frutiger Next for EVN Light"/>
          <w:color w:val="000000" w:themeColor="text1"/>
          <w:spacing w:val="4"/>
          <w:sz w:val="19"/>
          <w:szCs w:val="19"/>
          <w:lang w:val="bg-BG"/>
        </w:rPr>
        <w:t>спред</w:t>
      </w:r>
      <w:proofErr w:type="spellEnd"/>
      <w:r w:rsidRPr="00077FFB">
        <w:rPr>
          <w:rFonts w:ascii="Frutiger Next for EVN Light" w:eastAsia="Frutiger Next for EVN Light" w:hAnsi="Frutiger Next for EVN Light"/>
          <w:color w:val="000000" w:themeColor="text1"/>
          <w:spacing w:val="4"/>
          <w:sz w:val="19"/>
          <w:szCs w:val="19"/>
          <w:lang w:val="bg-BG"/>
        </w:rPr>
        <w:t xml:space="preserve"> е изчислена чрез изваждане на доходността по облигации с корпоративен рейтинг Ваа1 от доходността по държавни облигации на развити пазари, като този на САЩ. </w:t>
      </w:r>
      <w:proofErr w:type="spellStart"/>
      <w:r w:rsidRPr="00077FFB">
        <w:rPr>
          <w:rFonts w:ascii="Frutiger Next for EVN Light" w:eastAsia="Frutiger Next for EVN Light" w:hAnsi="Frutiger Next for EVN Light"/>
          <w:color w:val="000000" w:themeColor="text1"/>
          <w:spacing w:val="4"/>
          <w:sz w:val="19"/>
          <w:szCs w:val="19"/>
          <w:lang w:val="bg-BG"/>
        </w:rPr>
        <w:t>Aswath</w:t>
      </w:r>
      <w:proofErr w:type="spellEnd"/>
      <w:r w:rsidRPr="00077FFB">
        <w:rPr>
          <w:rFonts w:ascii="Frutiger Next for EVN Light" w:eastAsia="Frutiger Next for EVN Light" w:hAnsi="Frutiger Next for EVN Light"/>
          <w:color w:val="000000" w:themeColor="text1"/>
          <w:spacing w:val="4"/>
          <w:sz w:val="19"/>
          <w:szCs w:val="19"/>
          <w:lang w:val="bg-BG"/>
        </w:rPr>
        <w:t xml:space="preserve"> </w:t>
      </w:r>
      <w:proofErr w:type="spellStart"/>
      <w:r w:rsidRPr="00077FFB">
        <w:rPr>
          <w:rFonts w:ascii="Frutiger Next for EVN Light" w:eastAsia="Frutiger Next for EVN Light" w:hAnsi="Frutiger Next for EVN Light"/>
          <w:color w:val="000000" w:themeColor="text1"/>
          <w:spacing w:val="4"/>
          <w:sz w:val="19"/>
          <w:szCs w:val="19"/>
          <w:lang w:val="bg-BG"/>
        </w:rPr>
        <w:t>Damodaran</w:t>
      </w:r>
      <w:proofErr w:type="spellEnd"/>
      <w:r w:rsidRPr="00077FFB">
        <w:rPr>
          <w:rFonts w:ascii="Frutiger Next for EVN Light" w:eastAsia="Frutiger Next for EVN Light" w:hAnsi="Frutiger Next for EVN Light"/>
          <w:color w:val="000000" w:themeColor="text1"/>
          <w:spacing w:val="4"/>
          <w:sz w:val="19"/>
          <w:szCs w:val="19"/>
          <w:lang w:val="bg-BG"/>
        </w:rPr>
        <w:t xml:space="preserve"> препоръчва стойност от </w:t>
      </w:r>
      <w:proofErr w:type="spellStart"/>
      <w:r w:rsidR="00A95C23">
        <w:rPr>
          <w:rFonts w:ascii="Frutiger Next for EVN Light" w:eastAsia="Frutiger Next for EVN Light" w:hAnsi="Frutiger Next for EVN Light"/>
          <w:color w:val="000000" w:themeColor="text1"/>
          <w:spacing w:val="4"/>
          <w:sz w:val="19"/>
          <w:szCs w:val="19"/>
          <w:lang w:val="en-US"/>
        </w:rPr>
        <w:t>x.xx</w:t>
      </w:r>
      <w:proofErr w:type="spellEnd"/>
      <w:r w:rsidRPr="00077FFB">
        <w:rPr>
          <w:rFonts w:ascii="Frutiger Next for EVN Light" w:eastAsia="Frutiger Next for EVN Light" w:hAnsi="Frutiger Next for EVN Light"/>
          <w:color w:val="000000" w:themeColor="text1"/>
          <w:spacing w:val="4"/>
          <w:sz w:val="19"/>
          <w:szCs w:val="19"/>
          <w:lang w:val="bg-BG"/>
        </w:rPr>
        <w:t>% за България</w:t>
      </w:r>
    </w:p>
    <w:p w14:paraId="0E83613A" w14:textId="3E19ACF3" w:rsidR="003F675B" w:rsidRPr="00077FFB" w:rsidRDefault="00456103" w:rsidP="006179E7">
      <w:pPr>
        <w:pStyle w:val="ListParagraph"/>
        <w:ind w:left="709"/>
        <w:rPr>
          <w:rFonts w:ascii="Frutiger Next for EVN Light" w:eastAsia="Frutiger Next for EVN Light" w:hAnsi="Frutiger Next for EVN Light"/>
          <w:color w:val="000000" w:themeColor="text1"/>
          <w:spacing w:val="4"/>
          <w:sz w:val="19"/>
          <w:szCs w:val="19"/>
          <w:lang w:val="bg-BG"/>
        </w:rPr>
      </w:pPr>
      <w:proofErr w:type="spellStart"/>
      <w:r w:rsidRPr="00077FFB">
        <w:rPr>
          <w:rFonts w:ascii="Frutiger Next for EVN Light" w:eastAsia="Frutiger Next for EVN Light" w:hAnsi="Frutiger Next for EVN Light"/>
          <w:color w:val="000000" w:themeColor="text1"/>
          <w:spacing w:val="4"/>
          <w:sz w:val="19"/>
          <w:szCs w:val="19"/>
          <w:lang w:val="bg-BG"/>
        </w:rPr>
        <w:t>НВпк</w:t>
      </w:r>
      <w:proofErr w:type="spellEnd"/>
      <w:r w:rsidRPr="00077FFB">
        <w:rPr>
          <w:rFonts w:ascii="Frutiger Next for EVN Light" w:eastAsia="Frutiger Next for EVN Light" w:hAnsi="Frutiger Next for EVN Light"/>
          <w:color w:val="000000" w:themeColor="text1"/>
          <w:spacing w:val="4"/>
          <w:sz w:val="19"/>
          <w:szCs w:val="19"/>
          <w:lang w:val="bg-BG"/>
        </w:rPr>
        <w:t xml:space="preserve"> = </w:t>
      </w:r>
      <w:proofErr w:type="spellStart"/>
      <w:r w:rsidR="00A95C23">
        <w:rPr>
          <w:rFonts w:ascii="Frutiger Next for EVN Light" w:eastAsia="Frutiger Next for EVN Light" w:hAnsi="Frutiger Next for EVN Light"/>
          <w:color w:val="000000" w:themeColor="text1"/>
          <w:spacing w:val="4"/>
          <w:sz w:val="19"/>
          <w:szCs w:val="19"/>
          <w:lang w:val="en-US"/>
        </w:rPr>
        <w:t>x.xx</w:t>
      </w:r>
      <w:proofErr w:type="spellEnd"/>
      <w:r w:rsidRPr="00077FFB">
        <w:rPr>
          <w:rFonts w:ascii="Frutiger Next for EVN Light" w:eastAsia="Frutiger Next for EVN Light" w:hAnsi="Frutiger Next for EVN Light"/>
          <w:color w:val="000000" w:themeColor="text1"/>
          <w:spacing w:val="4"/>
          <w:sz w:val="19"/>
          <w:szCs w:val="19"/>
          <w:lang w:val="bg-BG"/>
        </w:rPr>
        <w:t>%+</w:t>
      </w:r>
      <w:proofErr w:type="spellStart"/>
      <w:r w:rsidR="00A95C23">
        <w:rPr>
          <w:rFonts w:ascii="Frutiger Next for EVN Light" w:eastAsia="Frutiger Next for EVN Light" w:hAnsi="Frutiger Next for EVN Light"/>
          <w:color w:val="000000" w:themeColor="text1"/>
          <w:spacing w:val="4"/>
          <w:sz w:val="19"/>
          <w:szCs w:val="19"/>
          <w:lang w:val="en-US"/>
        </w:rPr>
        <w:t>x.xx</w:t>
      </w:r>
      <w:proofErr w:type="spellEnd"/>
      <w:r w:rsidRPr="00077FFB">
        <w:rPr>
          <w:rFonts w:ascii="Frutiger Next for EVN Light" w:eastAsia="Frutiger Next for EVN Light" w:hAnsi="Frutiger Next for EVN Light"/>
          <w:color w:val="000000" w:themeColor="text1"/>
          <w:spacing w:val="4"/>
          <w:sz w:val="19"/>
          <w:szCs w:val="19"/>
          <w:lang w:val="bg-BG"/>
        </w:rPr>
        <w:t>%=</w:t>
      </w:r>
      <w:proofErr w:type="spellStart"/>
      <w:r w:rsidR="00A95C23">
        <w:rPr>
          <w:rFonts w:ascii="Frutiger Next for EVN Light" w:eastAsia="Frutiger Next for EVN Light" w:hAnsi="Frutiger Next for EVN Light"/>
          <w:color w:val="000000" w:themeColor="text1"/>
          <w:spacing w:val="4"/>
          <w:sz w:val="19"/>
          <w:szCs w:val="19"/>
          <w:lang w:val="en-US"/>
        </w:rPr>
        <w:t>x.xx</w:t>
      </w:r>
      <w:proofErr w:type="spellEnd"/>
      <w:r w:rsidRPr="00077FFB">
        <w:rPr>
          <w:rFonts w:ascii="Frutiger Next for EVN Light" w:eastAsia="Frutiger Next for EVN Light" w:hAnsi="Frutiger Next for EVN Light"/>
          <w:color w:val="000000" w:themeColor="text1"/>
          <w:spacing w:val="4"/>
          <w:sz w:val="19"/>
          <w:szCs w:val="19"/>
          <w:lang w:val="bg-BG"/>
        </w:rPr>
        <w:t>%</w:t>
      </w:r>
    </w:p>
    <w:p w14:paraId="5D5DA4D9" w14:textId="6C8A04A7" w:rsidR="00456103" w:rsidRPr="00077FFB" w:rsidRDefault="00456103" w:rsidP="006179E7">
      <w:pPr>
        <w:pStyle w:val="ListParagraph"/>
        <w:ind w:left="709"/>
        <w:rPr>
          <w:rFonts w:ascii="Frutiger Next for EVN Light" w:eastAsia="Frutiger Next for EVN Light" w:hAnsi="Frutiger Next for EVN Light"/>
          <w:color w:val="000000" w:themeColor="text1"/>
          <w:spacing w:val="4"/>
          <w:sz w:val="19"/>
          <w:szCs w:val="19"/>
          <w:lang w:val="bg-BG"/>
        </w:rPr>
      </w:pPr>
    </w:p>
    <w:p w14:paraId="05E1631F" w14:textId="77777777" w:rsidR="00456103" w:rsidRPr="00077FFB" w:rsidRDefault="00456103" w:rsidP="006179E7">
      <w:pPr>
        <w:pStyle w:val="ListParagraph"/>
        <w:ind w:left="709"/>
        <w:rPr>
          <w:rFonts w:ascii="Frutiger Next for EVN Light" w:eastAsia="Frutiger Next for EVN Light" w:hAnsi="Frutiger Next for EVN Light"/>
          <w:color w:val="000000" w:themeColor="text1"/>
          <w:spacing w:val="4"/>
          <w:sz w:val="19"/>
          <w:szCs w:val="19"/>
          <w:lang w:val="bg-BG"/>
        </w:rPr>
      </w:pPr>
    </w:p>
    <w:p w14:paraId="68AC9769" w14:textId="262E6E56" w:rsidR="005F16AF" w:rsidRPr="00077FFB" w:rsidRDefault="00364E9A" w:rsidP="00226ECF">
      <w:pPr>
        <w:pStyle w:val="ListParagraph"/>
        <w:numPr>
          <w:ilvl w:val="0"/>
          <w:numId w:val="13"/>
        </w:numPr>
        <w:rPr>
          <w:rFonts w:ascii="Frutiger Next for EVN Light" w:eastAsia="Frutiger Next for EVN Light" w:hAnsi="Frutiger Next for EVN Light"/>
          <w:color w:val="000000" w:themeColor="text1"/>
          <w:spacing w:val="4"/>
          <w:sz w:val="19"/>
          <w:szCs w:val="19"/>
          <w:lang w:val="bg-BG"/>
        </w:rPr>
      </w:pPr>
      <w:r w:rsidRPr="00077FFB">
        <w:rPr>
          <w:rFonts w:ascii="Frutiger Next for EVN Light" w:eastAsia="Frutiger Next for EVN Light" w:hAnsi="Frutiger Next for EVN Light"/>
          <w:color w:val="000000" w:themeColor="text1"/>
          <w:spacing w:val="4"/>
          <w:sz w:val="19"/>
          <w:szCs w:val="19"/>
          <w:lang w:val="bg-BG"/>
        </w:rPr>
        <w:t>Дял на собствения капитал - Д</w:t>
      </w:r>
      <w:r w:rsidRPr="00077FFB">
        <w:rPr>
          <w:rFonts w:ascii="Frutiger Next for EVN Light" w:eastAsia="Frutiger Next for EVN Light" w:hAnsi="Frutiger Next for EVN Light"/>
          <w:color w:val="000000" w:themeColor="text1"/>
          <w:spacing w:val="4"/>
          <w:sz w:val="19"/>
          <w:szCs w:val="19"/>
          <w:vertAlign w:val="subscript"/>
          <w:lang w:val="bg-BG"/>
        </w:rPr>
        <w:t xml:space="preserve">СК </w:t>
      </w:r>
      <w:r w:rsidRPr="00077FFB">
        <w:rPr>
          <w:rFonts w:ascii="Frutiger Next for EVN Light" w:eastAsia="Frutiger Next for EVN Light" w:hAnsi="Frutiger Next for EVN Light"/>
          <w:color w:val="000000" w:themeColor="text1"/>
          <w:spacing w:val="4"/>
          <w:sz w:val="19"/>
          <w:szCs w:val="19"/>
          <w:lang w:val="bg-BG"/>
        </w:rPr>
        <w:t xml:space="preserve">= </w:t>
      </w:r>
      <w:proofErr w:type="spellStart"/>
      <w:r w:rsidR="00A95C23">
        <w:rPr>
          <w:rFonts w:ascii="Frutiger Next for EVN Light" w:eastAsia="Frutiger Next for EVN Light" w:hAnsi="Frutiger Next for EVN Light"/>
          <w:color w:val="000000" w:themeColor="text1"/>
          <w:spacing w:val="4"/>
          <w:sz w:val="19"/>
          <w:szCs w:val="19"/>
          <w:lang w:val="en-US"/>
        </w:rPr>
        <w:t>xx.xx</w:t>
      </w:r>
      <w:proofErr w:type="spellEnd"/>
      <w:r w:rsidRPr="00077FFB">
        <w:rPr>
          <w:rFonts w:ascii="Frutiger Next for EVN Light" w:eastAsia="Frutiger Next for EVN Light" w:hAnsi="Frutiger Next for EVN Light"/>
          <w:color w:val="000000" w:themeColor="text1"/>
          <w:spacing w:val="4"/>
          <w:sz w:val="19"/>
          <w:szCs w:val="19"/>
          <w:lang w:val="bg-BG"/>
        </w:rPr>
        <w:t>%</w:t>
      </w:r>
    </w:p>
    <w:p w14:paraId="267EF98C" w14:textId="77777777" w:rsidR="00364E9A" w:rsidRPr="00077FFB" w:rsidRDefault="00364E9A" w:rsidP="00364E9A">
      <w:pPr>
        <w:pStyle w:val="ListParagraph"/>
        <w:ind w:left="1069"/>
        <w:rPr>
          <w:rFonts w:ascii="Frutiger Next for EVN Light" w:eastAsia="Frutiger Next for EVN Light" w:hAnsi="Frutiger Next for EVN Light"/>
          <w:color w:val="000000" w:themeColor="text1"/>
          <w:spacing w:val="4"/>
          <w:sz w:val="19"/>
          <w:szCs w:val="19"/>
          <w:lang w:val="bg-BG"/>
        </w:rPr>
      </w:pPr>
    </w:p>
    <w:p w14:paraId="07A2BBBB" w14:textId="5D4729C3" w:rsidR="00364E9A" w:rsidRPr="00077FFB" w:rsidRDefault="00364E9A" w:rsidP="00226ECF">
      <w:pPr>
        <w:pStyle w:val="ListParagraph"/>
        <w:numPr>
          <w:ilvl w:val="0"/>
          <w:numId w:val="13"/>
        </w:numPr>
        <w:rPr>
          <w:rFonts w:ascii="Frutiger Next for EVN Light" w:eastAsia="Frutiger Next for EVN Light" w:hAnsi="Frutiger Next for EVN Light"/>
          <w:color w:val="000000" w:themeColor="text1"/>
          <w:spacing w:val="4"/>
          <w:sz w:val="19"/>
          <w:szCs w:val="19"/>
          <w:lang w:val="bg-BG"/>
        </w:rPr>
      </w:pPr>
      <w:r w:rsidRPr="00077FFB">
        <w:rPr>
          <w:rFonts w:ascii="Frutiger Next for EVN Light" w:eastAsia="Frutiger Next for EVN Light" w:hAnsi="Frutiger Next for EVN Light"/>
          <w:color w:val="000000" w:themeColor="text1"/>
          <w:spacing w:val="4"/>
          <w:sz w:val="19"/>
          <w:szCs w:val="19"/>
          <w:lang w:val="bg-BG"/>
        </w:rPr>
        <w:t>Дял на привлечения капитал - Д</w:t>
      </w:r>
      <w:r w:rsidRPr="00077FFB">
        <w:rPr>
          <w:rFonts w:ascii="Frutiger Next for EVN Light" w:eastAsia="Frutiger Next for EVN Light" w:hAnsi="Frutiger Next for EVN Light"/>
          <w:color w:val="000000" w:themeColor="text1"/>
          <w:spacing w:val="4"/>
          <w:sz w:val="19"/>
          <w:szCs w:val="19"/>
          <w:vertAlign w:val="subscript"/>
          <w:lang w:val="bg-BG"/>
        </w:rPr>
        <w:t xml:space="preserve">ПК </w:t>
      </w:r>
      <w:r w:rsidRPr="00077FFB">
        <w:rPr>
          <w:rFonts w:ascii="Frutiger Next for EVN Light" w:eastAsia="Frutiger Next for EVN Light" w:hAnsi="Frutiger Next for EVN Light"/>
          <w:color w:val="000000" w:themeColor="text1"/>
          <w:spacing w:val="4"/>
          <w:sz w:val="19"/>
          <w:szCs w:val="19"/>
          <w:lang w:val="bg-BG"/>
        </w:rPr>
        <w:t xml:space="preserve">= </w:t>
      </w:r>
      <w:proofErr w:type="spellStart"/>
      <w:r w:rsidR="00A95C23">
        <w:rPr>
          <w:rFonts w:ascii="Frutiger Next for EVN Light" w:eastAsia="Frutiger Next for EVN Light" w:hAnsi="Frutiger Next for EVN Light"/>
          <w:color w:val="000000" w:themeColor="text1"/>
          <w:spacing w:val="4"/>
          <w:sz w:val="19"/>
          <w:szCs w:val="19"/>
          <w:lang w:val="en-US"/>
        </w:rPr>
        <w:t>xx.xx</w:t>
      </w:r>
      <w:proofErr w:type="spellEnd"/>
      <w:r w:rsidRPr="00077FFB">
        <w:rPr>
          <w:rFonts w:ascii="Frutiger Next for EVN Light" w:eastAsia="Frutiger Next for EVN Light" w:hAnsi="Frutiger Next for EVN Light"/>
          <w:color w:val="000000" w:themeColor="text1"/>
          <w:spacing w:val="4"/>
          <w:sz w:val="19"/>
          <w:szCs w:val="19"/>
          <w:lang w:val="bg-BG"/>
        </w:rPr>
        <w:t>%</w:t>
      </w:r>
    </w:p>
    <w:p w14:paraId="4D987916" w14:textId="2C952A3F" w:rsidR="00364E9A" w:rsidRPr="00077FFB" w:rsidRDefault="00364E9A" w:rsidP="00364E9A">
      <w:pPr>
        <w:rPr>
          <w:color w:val="000000" w:themeColor="text1"/>
        </w:rPr>
      </w:pPr>
    </w:p>
    <w:p w14:paraId="755270D8" w14:textId="464FEA21" w:rsidR="00364E9A" w:rsidRPr="00077FFB" w:rsidRDefault="00364E9A" w:rsidP="00226ECF">
      <w:pPr>
        <w:pStyle w:val="ListParagraph"/>
        <w:numPr>
          <w:ilvl w:val="0"/>
          <w:numId w:val="13"/>
        </w:numPr>
        <w:rPr>
          <w:rFonts w:ascii="Frutiger Next for EVN Light" w:eastAsia="Frutiger Next for EVN Light" w:hAnsi="Frutiger Next for EVN Light"/>
          <w:color w:val="000000" w:themeColor="text1"/>
          <w:spacing w:val="4"/>
          <w:sz w:val="19"/>
          <w:szCs w:val="19"/>
          <w:lang w:val="bg-BG"/>
        </w:rPr>
      </w:pPr>
      <w:r w:rsidRPr="00077FFB">
        <w:rPr>
          <w:rFonts w:ascii="Frutiger Next for EVN Light" w:eastAsia="Frutiger Next for EVN Light" w:hAnsi="Frutiger Next for EVN Light"/>
          <w:color w:val="000000" w:themeColor="text1"/>
          <w:spacing w:val="4"/>
          <w:sz w:val="19"/>
          <w:szCs w:val="19"/>
          <w:lang w:val="bg-BG"/>
        </w:rPr>
        <w:t xml:space="preserve">Данъчна ставка – ДС = </w:t>
      </w:r>
      <w:r w:rsidR="00A95C23">
        <w:rPr>
          <w:rFonts w:ascii="Frutiger Next for EVN Light" w:eastAsia="Frutiger Next for EVN Light" w:hAnsi="Frutiger Next for EVN Light"/>
          <w:color w:val="000000" w:themeColor="text1"/>
          <w:spacing w:val="4"/>
          <w:sz w:val="19"/>
          <w:szCs w:val="19"/>
          <w:lang w:val="en-US"/>
        </w:rPr>
        <w:t>xx</w:t>
      </w:r>
      <w:r w:rsidRPr="00077FFB">
        <w:rPr>
          <w:rFonts w:ascii="Frutiger Next for EVN Light" w:eastAsia="Frutiger Next for EVN Light" w:hAnsi="Frutiger Next for EVN Light"/>
          <w:color w:val="000000" w:themeColor="text1"/>
          <w:spacing w:val="4"/>
          <w:sz w:val="19"/>
          <w:szCs w:val="19"/>
          <w:lang w:val="bg-BG"/>
        </w:rPr>
        <w:t>%</w:t>
      </w:r>
    </w:p>
    <w:p w14:paraId="2BA797BE" w14:textId="77777777" w:rsidR="00364E9A" w:rsidRPr="00077FFB" w:rsidRDefault="00364E9A" w:rsidP="00364E9A">
      <w:pPr>
        <w:pStyle w:val="ListParagraph"/>
        <w:rPr>
          <w:rFonts w:ascii="Frutiger Next for EVN Light" w:eastAsia="Frutiger Next for EVN Light" w:hAnsi="Frutiger Next for EVN Light"/>
          <w:color w:val="000000" w:themeColor="text1"/>
          <w:spacing w:val="4"/>
          <w:sz w:val="19"/>
          <w:szCs w:val="19"/>
          <w:lang w:val="bg-BG"/>
        </w:rPr>
      </w:pPr>
    </w:p>
    <w:p w14:paraId="319C809B" w14:textId="563C8188" w:rsidR="00364E9A" w:rsidRPr="00077FFB" w:rsidRDefault="00364E9A" w:rsidP="00226ECF">
      <w:pPr>
        <w:pStyle w:val="ListParagraph"/>
        <w:numPr>
          <w:ilvl w:val="0"/>
          <w:numId w:val="13"/>
        </w:numPr>
        <w:rPr>
          <w:rFonts w:ascii="Frutiger Next for EVN Light" w:eastAsia="Frutiger Next for EVN Light" w:hAnsi="Frutiger Next for EVN Light"/>
          <w:color w:val="000000" w:themeColor="text1"/>
          <w:spacing w:val="4"/>
          <w:sz w:val="19"/>
          <w:szCs w:val="19"/>
          <w:lang w:val="bg-BG"/>
        </w:rPr>
      </w:pPr>
      <w:r w:rsidRPr="00077FFB">
        <w:rPr>
          <w:rFonts w:ascii="Frutiger Next for EVN Light" w:eastAsia="Frutiger Next for EVN Light" w:hAnsi="Frutiger Next for EVN Light"/>
          <w:color w:val="000000" w:themeColor="text1"/>
          <w:spacing w:val="4"/>
          <w:sz w:val="19"/>
          <w:szCs w:val="19"/>
          <w:lang w:val="bg-BG"/>
        </w:rPr>
        <w:t xml:space="preserve">Калкулация </w:t>
      </w:r>
    </w:p>
    <w:p w14:paraId="6A423281" w14:textId="687773D7" w:rsidR="00364E9A" w:rsidRPr="00077FFB" w:rsidRDefault="00364E9A" w:rsidP="00364E9A">
      <w:pPr>
        <w:ind w:left="709"/>
        <w:rPr>
          <w:color w:val="000000" w:themeColor="text1"/>
        </w:rPr>
      </w:pPr>
      <w:r w:rsidRPr="00077FFB">
        <w:rPr>
          <w:color w:val="000000" w:themeColor="text1"/>
        </w:rPr>
        <w:t xml:space="preserve">НВ = </w:t>
      </w:r>
      <w:proofErr w:type="spellStart"/>
      <w:r w:rsidR="00A95C23">
        <w:rPr>
          <w:color w:val="000000" w:themeColor="text1"/>
          <w:lang w:val="en-US"/>
        </w:rPr>
        <w:t>xx.xx</w:t>
      </w:r>
      <w:proofErr w:type="spellEnd"/>
      <w:r w:rsidR="00A52C3C" w:rsidRPr="00077FFB">
        <w:rPr>
          <w:color w:val="000000" w:themeColor="text1"/>
        </w:rPr>
        <w:t>%</w:t>
      </w:r>
      <w:r w:rsidRPr="00077FFB">
        <w:rPr>
          <w:color w:val="000000" w:themeColor="text1"/>
        </w:rPr>
        <w:t>*</w:t>
      </w:r>
      <w:proofErr w:type="spellStart"/>
      <w:r w:rsidR="00A95C23">
        <w:rPr>
          <w:color w:val="000000" w:themeColor="text1"/>
          <w:lang w:val="en-US"/>
        </w:rPr>
        <w:t>x.x</w:t>
      </w:r>
      <w:proofErr w:type="spellEnd"/>
      <w:r w:rsidRPr="00077FFB">
        <w:rPr>
          <w:color w:val="000000" w:themeColor="text1"/>
        </w:rPr>
        <w:t xml:space="preserve">%/(1-10%) + </w:t>
      </w:r>
      <w:proofErr w:type="spellStart"/>
      <w:r w:rsidR="00A95C23">
        <w:rPr>
          <w:color w:val="000000" w:themeColor="text1"/>
          <w:lang w:val="en-US"/>
        </w:rPr>
        <w:t>xx.xx</w:t>
      </w:r>
      <w:proofErr w:type="spellEnd"/>
      <w:r w:rsidRPr="00077FFB">
        <w:rPr>
          <w:color w:val="000000" w:themeColor="text1"/>
        </w:rPr>
        <w:t>%*</w:t>
      </w:r>
      <w:proofErr w:type="spellStart"/>
      <w:r w:rsidR="00A95C23">
        <w:rPr>
          <w:color w:val="000000" w:themeColor="text1"/>
          <w:lang w:val="en-US"/>
        </w:rPr>
        <w:t>x.xx</w:t>
      </w:r>
      <w:proofErr w:type="spellEnd"/>
      <w:r w:rsidRPr="00077FFB">
        <w:rPr>
          <w:color w:val="000000" w:themeColor="text1"/>
        </w:rPr>
        <w:t xml:space="preserve">% = </w:t>
      </w:r>
      <w:proofErr w:type="spellStart"/>
      <w:r w:rsidR="00A95C23">
        <w:rPr>
          <w:color w:val="000000" w:themeColor="text1"/>
          <w:lang w:val="en-US"/>
        </w:rPr>
        <w:t>x.xx</w:t>
      </w:r>
      <w:proofErr w:type="spellEnd"/>
      <w:r w:rsidRPr="00077FFB">
        <w:rPr>
          <w:color w:val="000000" w:themeColor="text1"/>
        </w:rPr>
        <w:t>%</w:t>
      </w:r>
    </w:p>
    <w:p w14:paraId="29866B38" w14:textId="2AAE632C" w:rsidR="00074983" w:rsidRPr="0057086A" w:rsidRDefault="00074983" w:rsidP="00226ECF">
      <w:pPr>
        <w:pStyle w:val="Heading2"/>
        <w:keepLines w:val="0"/>
        <w:numPr>
          <w:ilvl w:val="1"/>
          <w:numId w:val="12"/>
        </w:numPr>
        <w:tabs>
          <w:tab w:val="clear" w:pos="567"/>
        </w:tabs>
        <w:spacing w:before="240" w:line="240" w:lineRule="auto"/>
        <w:rPr>
          <w:color w:val="auto"/>
          <w:sz w:val="20"/>
        </w:rPr>
      </w:pPr>
      <w:r w:rsidRPr="0057086A">
        <w:rPr>
          <w:color w:val="auto"/>
          <w:sz w:val="20"/>
        </w:rPr>
        <w:t>Условно-постоянни разходи</w:t>
      </w:r>
    </w:p>
    <w:p w14:paraId="7F1F4EAB" w14:textId="35745F5F" w:rsidR="00074983" w:rsidRPr="00F86E26" w:rsidRDefault="00AD59A2" w:rsidP="00AD59A2">
      <w:pPr>
        <w:ind w:left="709"/>
        <w:rPr>
          <w:color w:val="000000" w:themeColor="text1"/>
        </w:rPr>
      </w:pPr>
      <w:r w:rsidRPr="00F86E26">
        <w:rPr>
          <w:color w:val="000000" w:themeColor="text1"/>
        </w:rPr>
        <w:t>Съгласно глава втора, раздел I, т.17 от Указания-НВ „Условно–постоянните разходи (УПР) се прогнозират за едногодишен период и включват пет основни подгрупи: разходи за заплати, разходи свързани с осигурителното законодателство, разходи за амортизации, разходи за ремонти и разходи пряко свързани с дейностите“</w:t>
      </w:r>
    </w:p>
    <w:p w14:paraId="4488EACA" w14:textId="0C123BEF" w:rsidR="009242AD" w:rsidRPr="0057086A" w:rsidRDefault="009242AD" w:rsidP="00226ECF">
      <w:pPr>
        <w:pStyle w:val="Heading3"/>
        <w:numPr>
          <w:ilvl w:val="3"/>
          <w:numId w:val="12"/>
        </w:numPr>
        <w:tabs>
          <w:tab w:val="clear" w:pos="709"/>
        </w:tabs>
        <w:spacing w:before="240" w:line="240" w:lineRule="auto"/>
        <w:rPr>
          <w:b/>
          <w:color w:val="auto"/>
          <w:sz w:val="20"/>
        </w:rPr>
      </w:pPr>
      <w:r w:rsidRPr="0057086A">
        <w:rPr>
          <w:b/>
          <w:color w:val="auto"/>
          <w:sz w:val="20"/>
        </w:rPr>
        <w:lastRenderedPageBreak/>
        <w:t>Разходи за амортизации</w:t>
      </w:r>
    </w:p>
    <w:p w14:paraId="53A411C9" w14:textId="77777777" w:rsidR="009242AD" w:rsidRPr="0057086A" w:rsidRDefault="009242AD" w:rsidP="009242AD">
      <w:pPr>
        <w:ind w:left="709"/>
      </w:pPr>
    </w:p>
    <w:p w14:paraId="584B3405" w14:textId="18BF1A44" w:rsidR="009242AD" w:rsidRPr="00EA3C44" w:rsidRDefault="009242AD" w:rsidP="009242AD">
      <w:pPr>
        <w:ind w:left="709" w:right="-143"/>
        <w:rPr>
          <w:color w:val="000000" w:themeColor="text1"/>
        </w:rPr>
      </w:pPr>
      <w:r w:rsidRPr="00EA3C44">
        <w:rPr>
          <w:color w:val="000000" w:themeColor="text1"/>
        </w:rPr>
        <w:t>Разходите за амортизация са планирани на база симулирана амортизация за период от една година на дълготрайните активи, които се използват и са свързани пряко с дейността по лицензията. За целите на регулирането в съответствие с чл. 4, ал. 2 от НРЦТЕ дружеството води отделна счетоводна отчетност съгласно чл. 37 от ЗЕ. Симулацията на активите в позиции Сгради, Транспортни средства, Стопански инвентар и Други дълготрайни материални активи е изготвена на база балансовата стойност на активите към 31.12.20</w:t>
      </w:r>
      <w:r w:rsidR="0071034E" w:rsidRPr="00EA3C44">
        <w:rPr>
          <w:color w:val="000000" w:themeColor="text1"/>
          <w:lang w:val="en-US"/>
        </w:rPr>
        <w:t>2</w:t>
      </w:r>
      <w:r w:rsidR="0069263D" w:rsidRPr="00EA3C44">
        <w:rPr>
          <w:color w:val="000000" w:themeColor="text1"/>
        </w:rPr>
        <w:t>2</w:t>
      </w:r>
      <w:r w:rsidRPr="00EA3C44">
        <w:rPr>
          <w:color w:val="000000" w:themeColor="text1"/>
        </w:rPr>
        <w:t xml:space="preserve"> изчислена съгласно чл. 9, ал. 1 от НРЦТЕ като разлика от призната стойност на активите, които се използват и имат полезен живот, определена на базата на цената на придобиването им и натрупаната амортизация, за целта на изчисляването в съответствие с чл. 8 ал. 2 т. 5 от НРЦТЕ и глава втора, раздел ІІ от Указания-НВ не са взети на предвид счетоводните ефекти от осчетоводените загуби от обезценки през 2016</w:t>
      </w:r>
      <w:r w:rsidR="0069263D" w:rsidRPr="00EA3C44">
        <w:rPr>
          <w:color w:val="000000" w:themeColor="text1"/>
        </w:rPr>
        <w:t>,</w:t>
      </w:r>
      <w:r w:rsidRPr="00EA3C44">
        <w:rPr>
          <w:color w:val="000000" w:themeColor="text1"/>
        </w:rPr>
        <w:t xml:space="preserve"> 2017</w:t>
      </w:r>
      <w:r w:rsidR="0069263D" w:rsidRPr="00EA3C44">
        <w:rPr>
          <w:color w:val="000000" w:themeColor="text1"/>
        </w:rPr>
        <w:t xml:space="preserve"> и 2022</w:t>
      </w:r>
      <w:r w:rsidRPr="00EA3C44">
        <w:rPr>
          <w:color w:val="000000" w:themeColor="text1"/>
        </w:rPr>
        <w:t xml:space="preserve"> година, както и приходите от последващи оценки на нетекущи материални  активи осчетоводени през 2019 година .</w:t>
      </w:r>
    </w:p>
    <w:p w14:paraId="58178226" w14:textId="02D20DE4" w:rsidR="009242AD" w:rsidRPr="00EA3C44" w:rsidRDefault="009242AD" w:rsidP="009242AD">
      <w:pPr>
        <w:ind w:left="709" w:right="-143"/>
        <w:rPr>
          <w:color w:val="000000" w:themeColor="text1"/>
        </w:rPr>
      </w:pPr>
      <w:r w:rsidRPr="00EA3C44">
        <w:rPr>
          <w:color w:val="000000" w:themeColor="text1"/>
        </w:rPr>
        <w:t>Разходите за амортизация на активите от позиция Машини, съоръжения и оборудване са калкулирани съгласно предприетия от КЕВР в т.1.1 от Общия подход на решение Ц-2</w:t>
      </w:r>
      <w:r w:rsidR="005F725B" w:rsidRPr="00EA3C44">
        <w:rPr>
          <w:color w:val="000000" w:themeColor="text1"/>
          <w:lang w:val="en-US"/>
        </w:rPr>
        <w:t>6</w:t>
      </w:r>
      <w:r w:rsidRPr="00EA3C44">
        <w:rPr>
          <w:color w:val="000000" w:themeColor="text1"/>
        </w:rPr>
        <w:t>/01.07.202</w:t>
      </w:r>
      <w:r w:rsidR="005F725B" w:rsidRPr="00EA3C44">
        <w:rPr>
          <w:color w:val="000000" w:themeColor="text1"/>
          <w:lang w:val="en-US"/>
        </w:rPr>
        <w:t>1</w:t>
      </w:r>
      <w:r w:rsidR="00306705" w:rsidRPr="00EA3C44">
        <w:rPr>
          <w:color w:val="000000" w:themeColor="text1"/>
        </w:rPr>
        <w:t>,</w:t>
      </w:r>
      <w:r w:rsidR="0069263D" w:rsidRPr="00EA3C44">
        <w:rPr>
          <w:color w:val="000000" w:themeColor="text1"/>
        </w:rPr>
        <w:t xml:space="preserve"> Ц-18/01.07.2022 </w:t>
      </w:r>
      <w:r w:rsidR="00306705" w:rsidRPr="00EA3C44">
        <w:rPr>
          <w:color w:val="000000" w:themeColor="text1"/>
        </w:rPr>
        <w:t xml:space="preserve">и Ц-12/01.07.2023 </w:t>
      </w:r>
      <w:r w:rsidRPr="00EA3C44">
        <w:rPr>
          <w:color w:val="000000" w:themeColor="text1"/>
        </w:rPr>
        <w:t>метод, а именно  като са изчислени за регулаторни цели на база отчетната стойност на активите за производство и пренос и съответните амортизационни квоти при 15 г. за активите в производството и 35 г. за активите в преноса на топлинна енергия.</w:t>
      </w:r>
    </w:p>
    <w:p w14:paraId="18E8DFF2" w14:textId="77777777" w:rsidR="009242AD" w:rsidRPr="00EA3C44" w:rsidRDefault="009242AD" w:rsidP="009242AD">
      <w:pPr>
        <w:ind w:left="709" w:right="-143"/>
        <w:rPr>
          <w:color w:val="000000" w:themeColor="text1"/>
        </w:rPr>
      </w:pPr>
    </w:p>
    <w:p w14:paraId="38E40F38" w14:textId="77777777" w:rsidR="009242AD" w:rsidRPr="00EA3C44" w:rsidRDefault="009242AD" w:rsidP="009242AD">
      <w:pPr>
        <w:ind w:left="709" w:right="-143"/>
        <w:rPr>
          <w:color w:val="000000" w:themeColor="text1"/>
        </w:rPr>
      </w:pPr>
      <w:r w:rsidRPr="00EA3C44">
        <w:rPr>
          <w:color w:val="000000" w:themeColor="text1"/>
        </w:rPr>
        <w:t>Разходите за амортизацията се разпределят, спрямо съответните активи от които произхождат, на разходи за електрическа енергия, разходи за топлинна енергия и общи разходи за двата продукта.</w:t>
      </w:r>
    </w:p>
    <w:p w14:paraId="2028BC0D" w14:textId="77777777" w:rsidR="009242AD" w:rsidRPr="00EA3C44" w:rsidRDefault="009242AD" w:rsidP="009242AD">
      <w:pPr>
        <w:ind w:left="709" w:right="-143"/>
        <w:rPr>
          <w:color w:val="000000" w:themeColor="text1"/>
        </w:rPr>
      </w:pPr>
    </w:p>
    <w:p w14:paraId="55C2F6FE" w14:textId="766AA32C" w:rsidR="009242AD" w:rsidRPr="00EA3C44" w:rsidRDefault="009242AD" w:rsidP="009242AD">
      <w:pPr>
        <w:ind w:left="709" w:right="-143"/>
        <w:rPr>
          <w:color w:val="000000" w:themeColor="text1"/>
        </w:rPr>
      </w:pPr>
      <w:r w:rsidRPr="00EA3C44">
        <w:rPr>
          <w:color w:val="000000" w:themeColor="text1"/>
        </w:rPr>
        <w:t>Амортизацията на активите от производствен</w:t>
      </w:r>
      <w:r w:rsidR="00F3016B" w:rsidRPr="00EA3C44">
        <w:rPr>
          <w:color w:val="000000" w:themeColor="text1"/>
        </w:rPr>
        <w:t>а</w:t>
      </w:r>
      <w:r w:rsidRPr="00EA3C44">
        <w:rPr>
          <w:color w:val="000000" w:themeColor="text1"/>
        </w:rPr>
        <w:t xml:space="preserve"> централ</w:t>
      </w:r>
      <w:r w:rsidR="00F3016B" w:rsidRPr="00EA3C44">
        <w:rPr>
          <w:color w:val="000000" w:themeColor="text1"/>
        </w:rPr>
        <w:t>а</w:t>
      </w:r>
      <w:r w:rsidRPr="00EA3C44">
        <w:rPr>
          <w:color w:val="000000" w:themeColor="text1"/>
        </w:rPr>
        <w:t xml:space="preserve"> Нова когенерационна централа </w:t>
      </w:r>
      <w:r w:rsidR="00F3016B" w:rsidRPr="00EA3C44">
        <w:rPr>
          <w:color w:val="000000" w:themeColor="text1"/>
        </w:rPr>
        <w:t>се</w:t>
      </w:r>
      <w:r w:rsidRPr="00EA3C44">
        <w:rPr>
          <w:color w:val="000000" w:themeColor="text1"/>
        </w:rPr>
        <w:t xml:space="preserve"> разпределя съответно според тяхното предназначение, и функционалност спрямо това дали служат само за производство на електричество, само за производство на топлинна енергия, или служат за комбинирано производството и на двата продукта.</w:t>
      </w:r>
    </w:p>
    <w:p w14:paraId="338A57EC" w14:textId="77777777" w:rsidR="009242AD" w:rsidRPr="00EA3C44" w:rsidRDefault="009242AD" w:rsidP="009242AD">
      <w:pPr>
        <w:ind w:left="709" w:right="-143"/>
        <w:rPr>
          <w:color w:val="000000" w:themeColor="text1"/>
        </w:rPr>
      </w:pPr>
    </w:p>
    <w:p w14:paraId="5D5BD6EB" w14:textId="2292C2DE" w:rsidR="009242AD" w:rsidRPr="00EA3C44" w:rsidRDefault="009242AD" w:rsidP="009242AD">
      <w:pPr>
        <w:ind w:left="709" w:right="-143"/>
        <w:rPr>
          <w:color w:val="000000" w:themeColor="text1"/>
        </w:rPr>
      </w:pPr>
      <w:r w:rsidRPr="00EA3C44">
        <w:rPr>
          <w:color w:val="000000" w:themeColor="text1"/>
        </w:rPr>
        <w:t>Амортизацията на</w:t>
      </w:r>
      <w:r w:rsidR="002D4966" w:rsidRPr="00EA3C44">
        <w:rPr>
          <w:color w:val="000000" w:themeColor="text1"/>
        </w:rPr>
        <w:t xml:space="preserve"> въведените в експлоатация </w:t>
      </w:r>
      <w:r w:rsidR="003A78F5" w:rsidRPr="00EA3C44">
        <w:rPr>
          <w:color w:val="000000" w:themeColor="text1"/>
        </w:rPr>
        <w:t xml:space="preserve">на площадките на ТЕЦ „Пловдив – Север“ </w:t>
      </w:r>
      <w:r w:rsidR="000023C5" w:rsidRPr="00EA3C44">
        <w:rPr>
          <w:color w:val="000000" w:themeColor="text1"/>
          <w:lang w:val="en-US"/>
        </w:rPr>
        <w:t xml:space="preserve">– 3 </w:t>
      </w:r>
      <w:r w:rsidR="000023C5" w:rsidRPr="00EA3C44">
        <w:rPr>
          <w:color w:val="000000" w:themeColor="text1"/>
        </w:rPr>
        <w:t xml:space="preserve">броя </w:t>
      </w:r>
      <w:r w:rsidR="003A78F5" w:rsidRPr="00EA3C44">
        <w:rPr>
          <w:color w:val="000000" w:themeColor="text1"/>
        </w:rPr>
        <w:t xml:space="preserve">и ОЦ „Пловдив Юг“  2 броя водогрейни котли с номинална мощност от 19 MW всеки </w:t>
      </w:r>
      <w:r w:rsidRPr="00EA3C44">
        <w:rPr>
          <w:color w:val="000000" w:themeColor="text1"/>
        </w:rPr>
        <w:t>се отнася директно към разходите за производство на топлинна енергия, тъй като тези активи служат само за производство на топлинна енергия.</w:t>
      </w:r>
    </w:p>
    <w:p w14:paraId="2750DB93" w14:textId="77777777" w:rsidR="009242AD" w:rsidRPr="00EA3C44" w:rsidRDefault="009242AD" w:rsidP="009242AD">
      <w:pPr>
        <w:ind w:left="709" w:right="-143"/>
        <w:rPr>
          <w:color w:val="000000" w:themeColor="text1"/>
        </w:rPr>
      </w:pPr>
    </w:p>
    <w:p w14:paraId="640466F3" w14:textId="77777777" w:rsidR="009242AD" w:rsidRPr="00EA3C44" w:rsidRDefault="009242AD" w:rsidP="009242AD">
      <w:pPr>
        <w:ind w:left="709" w:right="-143"/>
        <w:rPr>
          <w:color w:val="000000" w:themeColor="text1"/>
        </w:rPr>
      </w:pPr>
      <w:r w:rsidRPr="00EA3C44">
        <w:rPr>
          <w:color w:val="000000" w:themeColor="text1"/>
        </w:rPr>
        <w:t xml:space="preserve">Амортизацията на активите свързани с топлопреносната мрежа и всички прилежащи и компоненти са отнесени към разходи по преноса на топлинна енергия. </w:t>
      </w:r>
    </w:p>
    <w:p w14:paraId="17EE5C3C" w14:textId="77777777" w:rsidR="009242AD" w:rsidRPr="0057086A" w:rsidRDefault="009242AD" w:rsidP="009242AD">
      <w:pPr>
        <w:ind w:left="709" w:right="-143"/>
      </w:pPr>
    </w:p>
    <w:p w14:paraId="2E55291D" w14:textId="28F0B740" w:rsidR="009242AD" w:rsidRPr="00F86E26" w:rsidRDefault="009242AD" w:rsidP="009242AD">
      <w:pPr>
        <w:ind w:left="709" w:right="-143"/>
        <w:rPr>
          <w:color w:val="000000" w:themeColor="text1"/>
        </w:rPr>
      </w:pPr>
      <w:r w:rsidRPr="00F86E26">
        <w:rPr>
          <w:color w:val="000000" w:themeColor="text1"/>
        </w:rPr>
        <w:t xml:space="preserve">Разходите за амортизация на други активи свързани с административната работа на дружеството (компютри, софтуер, принтери, бюра, офис оборудване и др.) се разпределя между разходите за производство и пренос на база коефициент получен според отработените от служителите на дружеството часове за </w:t>
      </w:r>
      <w:r w:rsidR="00656078" w:rsidRPr="00F86E26">
        <w:rPr>
          <w:color w:val="000000" w:themeColor="text1"/>
        </w:rPr>
        <w:t>202</w:t>
      </w:r>
      <w:r w:rsidR="00F86E26">
        <w:rPr>
          <w:color w:val="000000" w:themeColor="text1"/>
          <w:lang w:val="en-US"/>
        </w:rPr>
        <w:t>3</w:t>
      </w:r>
      <w:r w:rsidR="00656078" w:rsidRPr="00F86E26">
        <w:rPr>
          <w:color w:val="000000" w:themeColor="text1"/>
        </w:rPr>
        <w:t xml:space="preserve"> година съответно в производството и в преноса на топлинна енергия. За периода Януари-Декември 202</w:t>
      </w:r>
      <w:r w:rsidR="00F86E26">
        <w:rPr>
          <w:color w:val="000000" w:themeColor="text1"/>
          <w:lang w:val="en-US"/>
        </w:rPr>
        <w:t>3</w:t>
      </w:r>
      <w:r w:rsidR="00656078" w:rsidRPr="00F86E26">
        <w:rPr>
          <w:color w:val="000000" w:themeColor="text1"/>
        </w:rPr>
        <w:t xml:space="preserve">г. съотношението на отработените часове за дейности свързани с </w:t>
      </w:r>
      <w:r w:rsidR="00581846" w:rsidRPr="00F86E26">
        <w:rPr>
          <w:color w:val="000000" w:themeColor="text1"/>
        </w:rPr>
        <w:t xml:space="preserve">производство </w:t>
      </w:r>
      <w:r w:rsidR="000E311E">
        <w:rPr>
          <w:color w:val="000000" w:themeColor="text1"/>
          <w:lang w:val="en-US"/>
        </w:rPr>
        <w:t>xx xxx</w:t>
      </w:r>
      <w:r w:rsidR="00581846" w:rsidRPr="00F86E26">
        <w:rPr>
          <w:color w:val="000000" w:themeColor="text1"/>
        </w:rPr>
        <w:t xml:space="preserve">ч., а тези свързани с пренос </w:t>
      </w:r>
      <w:r w:rsidR="000E311E">
        <w:rPr>
          <w:color w:val="000000" w:themeColor="text1"/>
          <w:lang w:val="en-US"/>
        </w:rPr>
        <w:t>xx xxx</w:t>
      </w:r>
      <w:r w:rsidR="00581846" w:rsidRPr="00F86E26">
        <w:rPr>
          <w:color w:val="000000" w:themeColor="text1"/>
        </w:rPr>
        <w:t xml:space="preserve">ч. На тази база </w:t>
      </w:r>
      <w:r w:rsidR="000E311E">
        <w:rPr>
          <w:color w:val="000000" w:themeColor="text1"/>
          <w:lang w:val="en-US"/>
        </w:rPr>
        <w:t>xx</w:t>
      </w:r>
      <w:r w:rsidR="00581846" w:rsidRPr="00F86E26">
        <w:rPr>
          <w:color w:val="000000" w:themeColor="text1"/>
        </w:rPr>
        <w:t xml:space="preserve">% от стойността на активите свързани с административната работа на дружеството се разпределя за производство на енергия, а </w:t>
      </w:r>
      <w:r w:rsidR="000E311E">
        <w:rPr>
          <w:color w:val="000000" w:themeColor="text1"/>
          <w:lang w:val="en-US"/>
        </w:rPr>
        <w:t>xx</w:t>
      </w:r>
      <w:r w:rsidR="00581846" w:rsidRPr="00F86E26">
        <w:rPr>
          <w:color w:val="000000" w:themeColor="text1"/>
        </w:rPr>
        <w:t>% се разпределя за пренос на топлинна енергия.</w:t>
      </w:r>
    </w:p>
    <w:p w14:paraId="0D8ED01F" w14:textId="57A00AC8" w:rsidR="009B5CBA" w:rsidRPr="0057086A" w:rsidRDefault="009B5CBA" w:rsidP="009242AD">
      <w:pPr>
        <w:ind w:left="709" w:right="-143"/>
        <w:rPr>
          <w:color w:val="000000" w:themeColor="text1"/>
        </w:rPr>
      </w:pPr>
    </w:p>
    <w:tbl>
      <w:tblPr>
        <w:tblW w:w="4848" w:type="pct"/>
        <w:tblInd w:w="-152" w:type="dxa"/>
        <w:tblCellMar>
          <w:left w:w="70" w:type="dxa"/>
          <w:right w:w="70" w:type="dxa"/>
        </w:tblCellMar>
        <w:tblLook w:val="04A0" w:firstRow="1" w:lastRow="0" w:firstColumn="1" w:lastColumn="0" w:noHBand="0" w:noVBand="1"/>
      </w:tblPr>
      <w:tblGrid>
        <w:gridCol w:w="3845"/>
        <w:gridCol w:w="987"/>
        <w:gridCol w:w="1373"/>
        <w:gridCol w:w="1772"/>
        <w:gridCol w:w="1349"/>
      </w:tblGrid>
      <w:tr w:rsidR="00DF1640" w:rsidRPr="0057086A" w14:paraId="512DD834" w14:textId="77777777" w:rsidTr="009B5CBA">
        <w:trPr>
          <w:trHeight w:val="478"/>
        </w:trPr>
        <w:tc>
          <w:tcPr>
            <w:tcW w:w="206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4A231D" w14:textId="77777777" w:rsidR="009B5CBA" w:rsidRPr="00F86E26" w:rsidRDefault="009B5CBA" w:rsidP="00570902">
            <w:pPr>
              <w:spacing w:line="240" w:lineRule="auto"/>
              <w:jc w:val="center"/>
              <w:rPr>
                <w:rFonts w:eastAsia="Times New Roman" w:cs="Arial"/>
                <w:color w:val="000000" w:themeColor="text1"/>
                <w:spacing w:val="0"/>
                <w:sz w:val="20"/>
                <w:szCs w:val="20"/>
                <w:lang w:eastAsia="en-US"/>
              </w:rPr>
            </w:pPr>
            <w:r w:rsidRPr="00F86E26">
              <w:rPr>
                <w:rFonts w:eastAsia="Times New Roman" w:cs="Arial"/>
                <w:color w:val="000000" w:themeColor="text1"/>
                <w:spacing w:val="0"/>
                <w:sz w:val="20"/>
                <w:szCs w:val="20"/>
                <w:lang w:eastAsia="en-US"/>
              </w:rPr>
              <w:t>НАИМЕНОВАНИЕ НА РАЗХОДА</w:t>
            </w:r>
          </w:p>
        </w:tc>
        <w:tc>
          <w:tcPr>
            <w:tcW w:w="529"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F320971" w14:textId="77777777" w:rsidR="009B5CBA" w:rsidRPr="00F86E26" w:rsidRDefault="009B5CBA" w:rsidP="00570902">
            <w:pPr>
              <w:spacing w:line="240" w:lineRule="auto"/>
              <w:jc w:val="center"/>
              <w:rPr>
                <w:rFonts w:eastAsia="Times New Roman" w:cs="Arial"/>
                <w:color w:val="000000" w:themeColor="text1"/>
                <w:spacing w:val="0"/>
                <w:sz w:val="20"/>
                <w:szCs w:val="20"/>
                <w:lang w:eastAsia="en-US"/>
              </w:rPr>
            </w:pPr>
            <w:r w:rsidRPr="00F86E26">
              <w:rPr>
                <w:rFonts w:eastAsia="Times New Roman" w:cs="Arial"/>
                <w:color w:val="000000" w:themeColor="text1"/>
                <w:spacing w:val="0"/>
                <w:sz w:val="20"/>
                <w:szCs w:val="20"/>
                <w:lang w:eastAsia="en-US"/>
              </w:rPr>
              <w:t>МЯРКА</w:t>
            </w:r>
          </w:p>
        </w:tc>
        <w:tc>
          <w:tcPr>
            <w:tcW w:w="7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A12245" w14:textId="2B05B490" w:rsidR="009B5CBA" w:rsidRPr="00F86E26" w:rsidRDefault="009B5CBA" w:rsidP="00887BCE">
            <w:pPr>
              <w:spacing w:line="240" w:lineRule="auto"/>
              <w:jc w:val="center"/>
              <w:rPr>
                <w:rFonts w:eastAsia="Times New Roman" w:cs="Arial"/>
                <w:color w:val="000000" w:themeColor="text1"/>
                <w:spacing w:val="0"/>
                <w:sz w:val="20"/>
                <w:szCs w:val="20"/>
                <w:lang w:eastAsia="en-US"/>
              </w:rPr>
            </w:pPr>
            <w:r w:rsidRPr="00F86E26">
              <w:rPr>
                <w:rFonts w:eastAsia="Times New Roman" w:cs="Arial"/>
                <w:color w:val="000000" w:themeColor="text1"/>
                <w:spacing w:val="0"/>
                <w:sz w:val="20"/>
                <w:szCs w:val="20"/>
                <w:lang w:eastAsia="en-US"/>
              </w:rPr>
              <w:t>Отчет за базовата 202</w:t>
            </w:r>
            <w:r w:rsidR="00835378" w:rsidRPr="00F86E26">
              <w:rPr>
                <w:rFonts w:eastAsia="Times New Roman" w:cs="Arial"/>
                <w:color w:val="000000" w:themeColor="text1"/>
                <w:spacing w:val="0"/>
                <w:sz w:val="20"/>
                <w:szCs w:val="20"/>
                <w:lang w:eastAsia="en-US"/>
              </w:rPr>
              <w:t>3</w:t>
            </w:r>
            <w:r w:rsidRPr="00F86E26">
              <w:rPr>
                <w:rFonts w:eastAsia="Times New Roman" w:cs="Arial"/>
                <w:color w:val="000000" w:themeColor="text1"/>
                <w:spacing w:val="0"/>
                <w:sz w:val="20"/>
                <w:szCs w:val="20"/>
                <w:lang w:eastAsia="en-US"/>
              </w:rPr>
              <w:t xml:space="preserve"> г.</w:t>
            </w:r>
          </w:p>
        </w:tc>
        <w:tc>
          <w:tcPr>
            <w:tcW w:w="9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9AC9253" w14:textId="47761453" w:rsidR="009B5CBA" w:rsidRPr="00F86E26" w:rsidRDefault="009B5CBA" w:rsidP="00887BCE">
            <w:pPr>
              <w:spacing w:line="240" w:lineRule="auto"/>
              <w:jc w:val="center"/>
              <w:rPr>
                <w:rFonts w:eastAsia="Times New Roman" w:cs="Arial"/>
                <w:color w:val="000000" w:themeColor="text1"/>
                <w:spacing w:val="0"/>
                <w:sz w:val="20"/>
                <w:szCs w:val="20"/>
                <w:lang w:eastAsia="en-US"/>
              </w:rPr>
            </w:pPr>
            <w:r w:rsidRPr="00F86E26">
              <w:rPr>
                <w:rFonts w:eastAsia="Times New Roman" w:cs="Arial"/>
                <w:color w:val="000000" w:themeColor="text1"/>
                <w:spacing w:val="0"/>
                <w:sz w:val="20"/>
                <w:szCs w:val="20"/>
                <w:lang w:eastAsia="en-US"/>
              </w:rPr>
              <w:t>Прогноза в цени X</w:t>
            </w:r>
            <w:r w:rsidR="00B07330" w:rsidRPr="00F86E26">
              <w:rPr>
                <w:rFonts w:eastAsia="Times New Roman" w:cs="Arial"/>
                <w:color w:val="000000" w:themeColor="text1"/>
                <w:spacing w:val="0"/>
                <w:sz w:val="20"/>
                <w:szCs w:val="20"/>
                <w:lang w:val="en-US" w:eastAsia="en-US"/>
              </w:rPr>
              <w:t>V</w:t>
            </w:r>
            <w:r w:rsidRPr="00F86E26">
              <w:rPr>
                <w:rFonts w:eastAsia="Times New Roman" w:cs="Arial"/>
                <w:color w:val="000000" w:themeColor="text1"/>
                <w:spacing w:val="0"/>
                <w:sz w:val="20"/>
                <w:szCs w:val="20"/>
                <w:lang w:eastAsia="en-US"/>
              </w:rPr>
              <w:t>-ти РП   01.07.202</w:t>
            </w:r>
            <w:r w:rsidR="00835378" w:rsidRPr="00F86E26">
              <w:rPr>
                <w:rFonts w:eastAsia="Times New Roman" w:cs="Arial"/>
                <w:color w:val="000000" w:themeColor="text1"/>
                <w:spacing w:val="0"/>
                <w:sz w:val="20"/>
                <w:szCs w:val="20"/>
                <w:lang w:eastAsia="en-US"/>
              </w:rPr>
              <w:t>4</w:t>
            </w:r>
            <w:r w:rsidRPr="00F86E26">
              <w:rPr>
                <w:rFonts w:eastAsia="Times New Roman" w:cs="Arial"/>
                <w:color w:val="000000" w:themeColor="text1"/>
                <w:spacing w:val="0"/>
                <w:sz w:val="20"/>
                <w:szCs w:val="20"/>
                <w:lang w:eastAsia="en-US"/>
              </w:rPr>
              <w:t xml:space="preserve"> г.</w:t>
            </w:r>
          </w:p>
        </w:tc>
        <w:tc>
          <w:tcPr>
            <w:tcW w:w="7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764B27" w14:textId="15292CE8" w:rsidR="009B5CBA" w:rsidRPr="00F86E26" w:rsidRDefault="009B5CBA" w:rsidP="00887BCE">
            <w:pPr>
              <w:spacing w:line="240" w:lineRule="auto"/>
              <w:jc w:val="center"/>
              <w:rPr>
                <w:rFonts w:eastAsia="Times New Roman" w:cs="Arial"/>
                <w:color w:val="000000" w:themeColor="text1"/>
                <w:spacing w:val="0"/>
                <w:sz w:val="20"/>
                <w:szCs w:val="20"/>
                <w:lang w:eastAsia="en-US"/>
              </w:rPr>
            </w:pPr>
            <w:r w:rsidRPr="00F86E26">
              <w:rPr>
                <w:rFonts w:eastAsia="Times New Roman" w:cs="Arial"/>
                <w:color w:val="000000" w:themeColor="text1"/>
                <w:spacing w:val="0"/>
                <w:sz w:val="20"/>
                <w:szCs w:val="20"/>
                <w:lang w:eastAsia="en-US"/>
              </w:rPr>
              <w:t>Разлика          X</w:t>
            </w:r>
            <w:r w:rsidR="00B07330" w:rsidRPr="00F86E26">
              <w:rPr>
                <w:rFonts w:eastAsia="Times New Roman" w:cs="Arial"/>
                <w:color w:val="000000" w:themeColor="text1"/>
                <w:spacing w:val="0"/>
                <w:sz w:val="20"/>
                <w:szCs w:val="20"/>
                <w:lang w:val="en-US" w:eastAsia="en-US"/>
              </w:rPr>
              <w:t>V</w:t>
            </w:r>
            <w:r w:rsidRPr="00F86E26">
              <w:rPr>
                <w:rFonts w:eastAsia="Times New Roman" w:cs="Arial"/>
                <w:color w:val="000000" w:themeColor="text1"/>
                <w:spacing w:val="0"/>
                <w:sz w:val="20"/>
                <w:szCs w:val="20"/>
                <w:lang w:eastAsia="en-US"/>
              </w:rPr>
              <w:t xml:space="preserve"> РП – 202</w:t>
            </w:r>
            <w:r w:rsidR="00A245F3" w:rsidRPr="00F86E26">
              <w:rPr>
                <w:rFonts w:eastAsia="Times New Roman" w:cs="Arial"/>
                <w:color w:val="000000" w:themeColor="text1"/>
                <w:spacing w:val="0"/>
                <w:sz w:val="20"/>
                <w:szCs w:val="20"/>
                <w:lang w:eastAsia="en-US"/>
              </w:rPr>
              <w:t>3</w:t>
            </w:r>
            <w:r w:rsidRPr="00F86E26">
              <w:rPr>
                <w:rFonts w:eastAsia="Times New Roman" w:cs="Arial"/>
                <w:color w:val="000000" w:themeColor="text1"/>
                <w:spacing w:val="0"/>
                <w:sz w:val="20"/>
                <w:szCs w:val="20"/>
                <w:lang w:eastAsia="en-US"/>
              </w:rPr>
              <w:t xml:space="preserve"> г.</w:t>
            </w:r>
          </w:p>
        </w:tc>
      </w:tr>
      <w:tr w:rsidR="00DF1640" w:rsidRPr="0057086A" w14:paraId="1756BE52" w14:textId="77777777" w:rsidTr="009B5CBA">
        <w:trPr>
          <w:trHeight w:val="525"/>
        </w:trPr>
        <w:tc>
          <w:tcPr>
            <w:tcW w:w="2061" w:type="pct"/>
            <w:vMerge/>
            <w:tcBorders>
              <w:top w:val="single" w:sz="8" w:space="0" w:color="auto"/>
              <w:left w:val="single" w:sz="8" w:space="0" w:color="auto"/>
              <w:bottom w:val="single" w:sz="8" w:space="0" w:color="000000"/>
              <w:right w:val="single" w:sz="8" w:space="0" w:color="auto"/>
            </w:tcBorders>
            <w:vAlign w:val="center"/>
            <w:hideMark/>
          </w:tcPr>
          <w:p w14:paraId="66CC3634" w14:textId="77777777" w:rsidR="009B5CBA" w:rsidRPr="00F86E26" w:rsidRDefault="009B5CBA" w:rsidP="00570902">
            <w:pPr>
              <w:spacing w:line="240" w:lineRule="auto"/>
              <w:jc w:val="center"/>
              <w:rPr>
                <w:rFonts w:eastAsia="Times New Roman" w:cs="Arial"/>
                <w:color w:val="000000" w:themeColor="text1"/>
                <w:spacing w:val="0"/>
                <w:sz w:val="20"/>
                <w:szCs w:val="20"/>
                <w:lang w:eastAsia="en-US"/>
              </w:rPr>
            </w:pPr>
          </w:p>
        </w:tc>
        <w:tc>
          <w:tcPr>
            <w:tcW w:w="529" w:type="pct"/>
            <w:vMerge/>
            <w:tcBorders>
              <w:top w:val="single" w:sz="8" w:space="0" w:color="auto"/>
              <w:left w:val="single" w:sz="8" w:space="0" w:color="auto"/>
              <w:bottom w:val="single" w:sz="8" w:space="0" w:color="000000"/>
              <w:right w:val="single" w:sz="8" w:space="0" w:color="auto"/>
            </w:tcBorders>
            <w:vAlign w:val="center"/>
            <w:hideMark/>
          </w:tcPr>
          <w:p w14:paraId="434857A2" w14:textId="77777777" w:rsidR="009B5CBA" w:rsidRPr="00F86E26" w:rsidRDefault="009B5CBA" w:rsidP="00570902">
            <w:pPr>
              <w:spacing w:line="240" w:lineRule="auto"/>
              <w:jc w:val="center"/>
              <w:rPr>
                <w:rFonts w:eastAsia="Times New Roman" w:cs="Arial"/>
                <w:color w:val="000000" w:themeColor="text1"/>
                <w:spacing w:val="0"/>
                <w:sz w:val="20"/>
                <w:szCs w:val="20"/>
                <w:lang w:eastAsia="en-US"/>
              </w:rPr>
            </w:pPr>
          </w:p>
        </w:tc>
        <w:tc>
          <w:tcPr>
            <w:tcW w:w="736" w:type="pct"/>
            <w:vMerge/>
            <w:tcBorders>
              <w:top w:val="single" w:sz="8" w:space="0" w:color="auto"/>
              <w:left w:val="single" w:sz="8" w:space="0" w:color="auto"/>
              <w:bottom w:val="single" w:sz="8" w:space="0" w:color="000000"/>
              <w:right w:val="single" w:sz="8" w:space="0" w:color="auto"/>
            </w:tcBorders>
            <w:vAlign w:val="center"/>
            <w:hideMark/>
          </w:tcPr>
          <w:p w14:paraId="4956CD86" w14:textId="77777777" w:rsidR="009B5CBA" w:rsidRPr="00F86E26" w:rsidRDefault="009B5CBA" w:rsidP="00570902">
            <w:pPr>
              <w:spacing w:line="240" w:lineRule="auto"/>
              <w:jc w:val="center"/>
              <w:rPr>
                <w:rFonts w:eastAsia="Times New Roman" w:cs="Arial"/>
                <w:color w:val="000000" w:themeColor="text1"/>
                <w:spacing w:val="0"/>
                <w:sz w:val="20"/>
                <w:szCs w:val="20"/>
                <w:lang w:eastAsia="en-US"/>
              </w:rPr>
            </w:pPr>
          </w:p>
        </w:tc>
        <w:tc>
          <w:tcPr>
            <w:tcW w:w="950" w:type="pct"/>
            <w:vMerge/>
            <w:tcBorders>
              <w:top w:val="single" w:sz="8" w:space="0" w:color="auto"/>
              <w:left w:val="single" w:sz="8" w:space="0" w:color="auto"/>
              <w:bottom w:val="single" w:sz="8" w:space="0" w:color="000000"/>
              <w:right w:val="single" w:sz="8" w:space="0" w:color="auto"/>
            </w:tcBorders>
            <w:vAlign w:val="center"/>
            <w:hideMark/>
          </w:tcPr>
          <w:p w14:paraId="22176832" w14:textId="77777777" w:rsidR="009B5CBA" w:rsidRPr="00F86E26" w:rsidRDefault="009B5CBA" w:rsidP="00570902">
            <w:pPr>
              <w:spacing w:line="240" w:lineRule="auto"/>
              <w:jc w:val="center"/>
              <w:rPr>
                <w:rFonts w:eastAsia="Times New Roman" w:cs="Arial"/>
                <w:color w:val="000000" w:themeColor="text1"/>
                <w:spacing w:val="0"/>
                <w:sz w:val="20"/>
                <w:szCs w:val="20"/>
                <w:lang w:eastAsia="en-US"/>
              </w:rPr>
            </w:pPr>
          </w:p>
        </w:tc>
        <w:tc>
          <w:tcPr>
            <w:tcW w:w="723" w:type="pct"/>
            <w:vMerge/>
            <w:tcBorders>
              <w:top w:val="single" w:sz="8" w:space="0" w:color="auto"/>
              <w:left w:val="single" w:sz="8" w:space="0" w:color="auto"/>
              <w:bottom w:val="single" w:sz="8" w:space="0" w:color="000000"/>
              <w:right w:val="single" w:sz="8" w:space="0" w:color="auto"/>
            </w:tcBorders>
            <w:vAlign w:val="center"/>
            <w:hideMark/>
          </w:tcPr>
          <w:p w14:paraId="770509D2" w14:textId="77777777" w:rsidR="009B5CBA" w:rsidRPr="00F86E26" w:rsidRDefault="009B5CBA" w:rsidP="00570902">
            <w:pPr>
              <w:spacing w:line="240" w:lineRule="auto"/>
              <w:jc w:val="center"/>
              <w:rPr>
                <w:rFonts w:eastAsia="Times New Roman" w:cs="Arial"/>
                <w:color w:val="000000" w:themeColor="text1"/>
                <w:spacing w:val="0"/>
                <w:sz w:val="20"/>
                <w:szCs w:val="20"/>
                <w:lang w:eastAsia="en-US"/>
              </w:rPr>
            </w:pPr>
          </w:p>
        </w:tc>
      </w:tr>
      <w:tr w:rsidR="00F86E26" w:rsidRPr="0057086A" w14:paraId="29015178" w14:textId="77777777" w:rsidTr="00A40300">
        <w:trPr>
          <w:trHeight w:val="285"/>
        </w:trPr>
        <w:tc>
          <w:tcPr>
            <w:tcW w:w="2061" w:type="pct"/>
            <w:tcBorders>
              <w:top w:val="nil"/>
              <w:left w:val="single" w:sz="4" w:space="0" w:color="auto"/>
              <w:bottom w:val="single" w:sz="8" w:space="0" w:color="auto"/>
              <w:right w:val="single" w:sz="8" w:space="0" w:color="auto"/>
            </w:tcBorders>
            <w:shd w:val="clear" w:color="auto" w:fill="auto"/>
            <w:vAlign w:val="center"/>
            <w:hideMark/>
          </w:tcPr>
          <w:p w14:paraId="75CFFB2B" w14:textId="5644F050" w:rsidR="00F86E26" w:rsidRPr="00F86E26" w:rsidRDefault="00F86E26" w:rsidP="00F86E26">
            <w:pPr>
              <w:spacing w:line="240" w:lineRule="auto"/>
              <w:rPr>
                <w:rFonts w:eastAsia="Times New Roman" w:cs="Arial"/>
                <w:color w:val="000000" w:themeColor="text1"/>
                <w:spacing w:val="0"/>
                <w:sz w:val="20"/>
                <w:szCs w:val="20"/>
                <w:lang w:eastAsia="en-US"/>
              </w:rPr>
            </w:pPr>
            <w:r w:rsidRPr="00F86E26">
              <w:rPr>
                <w:rFonts w:cs="Arial"/>
                <w:color w:val="000000" w:themeColor="text1"/>
                <w:sz w:val="20"/>
                <w:szCs w:val="20"/>
              </w:rPr>
              <w:t>Разходи за амортизации</w:t>
            </w:r>
          </w:p>
        </w:tc>
        <w:tc>
          <w:tcPr>
            <w:tcW w:w="529" w:type="pct"/>
            <w:tcBorders>
              <w:top w:val="nil"/>
              <w:left w:val="nil"/>
              <w:bottom w:val="single" w:sz="8" w:space="0" w:color="auto"/>
              <w:right w:val="single" w:sz="8" w:space="0" w:color="auto"/>
            </w:tcBorders>
            <w:shd w:val="clear" w:color="auto" w:fill="auto"/>
            <w:vAlign w:val="center"/>
            <w:hideMark/>
          </w:tcPr>
          <w:p w14:paraId="46E3A758" w14:textId="54945A3A" w:rsidR="00F86E26" w:rsidRPr="00F86E26" w:rsidRDefault="00F86E26" w:rsidP="00F86E26">
            <w:pPr>
              <w:spacing w:line="240" w:lineRule="auto"/>
              <w:rPr>
                <w:rFonts w:eastAsia="Times New Roman" w:cs="Arial"/>
                <w:color w:val="000000" w:themeColor="text1"/>
                <w:spacing w:val="0"/>
                <w:sz w:val="20"/>
                <w:szCs w:val="20"/>
                <w:lang w:eastAsia="en-US"/>
              </w:rPr>
            </w:pPr>
            <w:r w:rsidRPr="00F86E26">
              <w:rPr>
                <w:rFonts w:cs="Arial"/>
                <w:color w:val="000000" w:themeColor="text1"/>
                <w:sz w:val="20"/>
                <w:szCs w:val="20"/>
              </w:rPr>
              <w:t xml:space="preserve">хил. </w:t>
            </w:r>
            <w:proofErr w:type="spellStart"/>
            <w:r w:rsidRPr="00F86E26">
              <w:rPr>
                <w:rFonts w:cs="Arial"/>
                <w:color w:val="000000" w:themeColor="text1"/>
                <w:sz w:val="20"/>
                <w:szCs w:val="20"/>
              </w:rPr>
              <w:t>лв</w:t>
            </w:r>
            <w:proofErr w:type="spellEnd"/>
          </w:p>
        </w:tc>
        <w:tc>
          <w:tcPr>
            <w:tcW w:w="736" w:type="pct"/>
            <w:tcBorders>
              <w:top w:val="nil"/>
              <w:left w:val="nil"/>
              <w:bottom w:val="single" w:sz="8" w:space="0" w:color="auto"/>
              <w:right w:val="single" w:sz="8" w:space="0" w:color="auto"/>
            </w:tcBorders>
            <w:shd w:val="clear" w:color="auto" w:fill="auto"/>
            <w:hideMark/>
          </w:tcPr>
          <w:p w14:paraId="2697A539" w14:textId="4AA67786" w:rsidR="00F86E26" w:rsidRPr="000E311E" w:rsidRDefault="000E311E" w:rsidP="00F86E26">
            <w:pPr>
              <w:spacing w:line="240" w:lineRule="auto"/>
              <w:rPr>
                <w:color w:val="000000" w:themeColor="text1"/>
                <w:spacing w:val="0"/>
                <w:sz w:val="20"/>
                <w:szCs w:val="20"/>
                <w:lang w:val="en-US" w:eastAsia="bg-BG"/>
              </w:rPr>
            </w:pPr>
            <w:r>
              <w:rPr>
                <w:color w:val="000000" w:themeColor="text1"/>
                <w:lang w:val="en-US"/>
              </w:rPr>
              <w:t>xx xxx</w:t>
            </w:r>
          </w:p>
        </w:tc>
        <w:tc>
          <w:tcPr>
            <w:tcW w:w="950" w:type="pct"/>
            <w:tcBorders>
              <w:top w:val="nil"/>
              <w:left w:val="nil"/>
              <w:bottom w:val="single" w:sz="8" w:space="0" w:color="auto"/>
              <w:right w:val="single" w:sz="8" w:space="0" w:color="auto"/>
            </w:tcBorders>
            <w:shd w:val="clear" w:color="auto" w:fill="auto"/>
            <w:hideMark/>
          </w:tcPr>
          <w:p w14:paraId="22AA55C6" w14:textId="3D888BFA" w:rsidR="00F86E26" w:rsidRPr="000E311E" w:rsidRDefault="000E311E" w:rsidP="00F86E26">
            <w:pPr>
              <w:spacing w:line="240" w:lineRule="auto"/>
              <w:rPr>
                <w:rFonts w:eastAsia="Times New Roman" w:cs="Arial"/>
                <w:color w:val="000000" w:themeColor="text1"/>
                <w:spacing w:val="0"/>
                <w:sz w:val="20"/>
                <w:szCs w:val="20"/>
                <w:lang w:val="en-US" w:eastAsia="en-US"/>
              </w:rPr>
            </w:pPr>
            <w:r>
              <w:rPr>
                <w:color w:val="000000" w:themeColor="text1"/>
                <w:lang w:val="en-US"/>
              </w:rPr>
              <w:t>xx xxx</w:t>
            </w:r>
          </w:p>
        </w:tc>
        <w:tc>
          <w:tcPr>
            <w:tcW w:w="723" w:type="pct"/>
            <w:tcBorders>
              <w:top w:val="nil"/>
              <w:left w:val="nil"/>
              <w:bottom w:val="single" w:sz="8" w:space="0" w:color="auto"/>
              <w:right w:val="single" w:sz="8" w:space="0" w:color="auto"/>
            </w:tcBorders>
            <w:shd w:val="clear" w:color="auto" w:fill="auto"/>
            <w:hideMark/>
          </w:tcPr>
          <w:p w14:paraId="7BA94D24" w14:textId="458B6ACB" w:rsidR="00F86E26" w:rsidRPr="000E311E" w:rsidRDefault="000E311E" w:rsidP="00F86E26">
            <w:pPr>
              <w:spacing w:line="240" w:lineRule="auto"/>
              <w:rPr>
                <w:rFonts w:eastAsia="Times New Roman" w:cs="Arial"/>
                <w:color w:val="000000" w:themeColor="text1"/>
                <w:spacing w:val="0"/>
                <w:sz w:val="20"/>
                <w:szCs w:val="20"/>
                <w:lang w:val="en-US" w:eastAsia="en-US"/>
              </w:rPr>
            </w:pPr>
            <w:r>
              <w:rPr>
                <w:color w:val="000000" w:themeColor="text1"/>
                <w:lang w:val="en-US"/>
              </w:rPr>
              <w:t>x xxx</w:t>
            </w:r>
          </w:p>
        </w:tc>
      </w:tr>
    </w:tbl>
    <w:p w14:paraId="31CA7AB7" w14:textId="77777777" w:rsidR="009B5CBA" w:rsidRPr="0057086A" w:rsidRDefault="009B5CBA" w:rsidP="009242AD">
      <w:pPr>
        <w:ind w:left="709" w:right="-143"/>
      </w:pPr>
    </w:p>
    <w:p w14:paraId="2E80FE01" w14:textId="77777777" w:rsidR="009242AD" w:rsidRPr="0057086A" w:rsidRDefault="009242AD" w:rsidP="00226ECF">
      <w:pPr>
        <w:pStyle w:val="Heading3"/>
        <w:numPr>
          <w:ilvl w:val="3"/>
          <w:numId w:val="12"/>
        </w:numPr>
        <w:tabs>
          <w:tab w:val="clear" w:pos="709"/>
        </w:tabs>
        <w:spacing w:before="240" w:line="240" w:lineRule="auto"/>
        <w:rPr>
          <w:b/>
          <w:color w:val="auto"/>
          <w:sz w:val="20"/>
        </w:rPr>
      </w:pPr>
      <w:r w:rsidRPr="0057086A">
        <w:rPr>
          <w:b/>
          <w:color w:val="auto"/>
          <w:sz w:val="20"/>
        </w:rPr>
        <w:lastRenderedPageBreak/>
        <w:t>Разходи за ремонт</w:t>
      </w:r>
    </w:p>
    <w:p w14:paraId="259D4B26" w14:textId="77777777" w:rsidR="009242AD" w:rsidRPr="0057086A" w:rsidRDefault="009242AD" w:rsidP="00B738B4">
      <w:pPr>
        <w:ind w:left="709" w:right="-143"/>
      </w:pPr>
      <w:r w:rsidRPr="0057086A">
        <w:t>Разходите за ремонти са планирани спрямо нужди от поддържане в изправно състояние на съоръженията за производство на топлинна и електрическа енергия и пренос на топлинна енергия за правилното им и безопасно функциониране.  Разходи за ремонти са планирани по обекти.</w:t>
      </w:r>
    </w:p>
    <w:p w14:paraId="09BA8AA9" w14:textId="77777777" w:rsidR="00F1036A" w:rsidRPr="0057086A" w:rsidRDefault="00F1036A" w:rsidP="009242AD">
      <w:pPr>
        <w:rPr>
          <w:lang w:val="en-US"/>
        </w:rPr>
      </w:pPr>
    </w:p>
    <w:tbl>
      <w:tblPr>
        <w:tblW w:w="4848" w:type="pct"/>
        <w:tblInd w:w="-152" w:type="dxa"/>
        <w:tblCellMar>
          <w:left w:w="70" w:type="dxa"/>
          <w:right w:w="70" w:type="dxa"/>
        </w:tblCellMar>
        <w:tblLook w:val="04A0" w:firstRow="1" w:lastRow="0" w:firstColumn="1" w:lastColumn="0" w:noHBand="0" w:noVBand="1"/>
      </w:tblPr>
      <w:tblGrid>
        <w:gridCol w:w="3845"/>
        <w:gridCol w:w="987"/>
        <w:gridCol w:w="1373"/>
        <w:gridCol w:w="1772"/>
        <w:gridCol w:w="1349"/>
      </w:tblGrid>
      <w:tr w:rsidR="00835378" w:rsidRPr="0057086A" w14:paraId="6B7F3371" w14:textId="77777777" w:rsidTr="00E61F5A">
        <w:trPr>
          <w:trHeight w:val="478"/>
        </w:trPr>
        <w:tc>
          <w:tcPr>
            <w:tcW w:w="206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2F11182" w14:textId="77777777" w:rsidR="00835378" w:rsidRPr="0057086A" w:rsidRDefault="00835378" w:rsidP="00835378">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НАИМЕНОВАНИЕ НА РАЗХОДА</w:t>
            </w:r>
          </w:p>
        </w:tc>
        <w:tc>
          <w:tcPr>
            <w:tcW w:w="529"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53962F8" w14:textId="77777777" w:rsidR="00835378" w:rsidRPr="0057086A" w:rsidRDefault="00835378" w:rsidP="00835378">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МЯРКА</w:t>
            </w:r>
          </w:p>
        </w:tc>
        <w:tc>
          <w:tcPr>
            <w:tcW w:w="7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96AD85" w14:textId="671A5B3B" w:rsidR="00835378" w:rsidRPr="00F86E26" w:rsidRDefault="00835378" w:rsidP="00835378">
            <w:pPr>
              <w:spacing w:line="240" w:lineRule="auto"/>
              <w:jc w:val="center"/>
              <w:rPr>
                <w:rFonts w:eastAsia="Times New Roman" w:cs="Arial"/>
                <w:color w:val="000000" w:themeColor="text1"/>
                <w:spacing w:val="0"/>
                <w:sz w:val="20"/>
                <w:szCs w:val="20"/>
                <w:lang w:eastAsia="en-US"/>
              </w:rPr>
            </w:pPr>
            <w:r w:rsidRPr="00F86E26">
              <w:rPr>
                <w:rFonts w:eastAsia="Times New Roman" w:cs="Arial"/>
                <w:color w:val="000000" w:themeColor="text1"/>
                <w:spacing w:val="0"/>
                <w:sz w:val="20"/>
                <w:szCs w:val="20"/>
                <w:lang w:eastAsia="en-US"/>
              </w:rPr>
              <w:t>Отчет за базовата 2023 г.</w:t>
            </w:r>
          </w:p>
        </w:tc>
        <w:tc>
          <w:tcPr>
            <w:tcW w:w="9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8B9099" w14:textId="759DF2BC" w:rsidR="00835378" w:rsidRPr="00F86E26" w:rsidRDefault="00835378" w:rsidP="00835378">
            <w:pPr>
              <w:spacing w:line="240" w:lineRule="auto"/>
              <w:jc w:val="center"/>
              <w:rPr>
                <w:rFonts w:eastAsia="Times New Roman" w:cs="Arial"/>
                <w:color w:val="000000" w:themeColor="text1"/>
                <w:spacing w:val="0"/>
                <w:sz w:val="20"/>
                <w:szCs w:val="20"/>
                <w:lang w:eastAsia="en-US"/>
              </w:rPr>
            </w:pPr>
            <w:r w:rsidRPr="00F86E26">
              <w:rPr>
                <w:rFonts w:eastAsia="Times New Roman" w:cs="Arial"/>
                <w:color w:val="000000" w:themeColor="text1"/>
                <w:spacing w:val="0"/>
                <w:sz w:val="20"/>
                <w:szCs w:val="20"/>
                <w:lang w:eastAsia="en-US"/>
              </w:rPr>
              <w:t>Прогноза в цени X</w:t>
            </w:r>
            <w:r w:rsidRPr="00F86E26">
              <w:rPr>
                <w:rFonts w:eastAsia="Times New Roman" w:cs="Arial"/>
                <w:color w:val="000000" w:themeColor="text1"/>
                <w:spacing w:val="0"/>
                <w:sz w:val="20"/>
                <w:szCs w:val="20"/>
                <w:lang w:val="en-US" w:eastAsia="en-US"/>
              </w:rPr>
              <w:t>V</w:t>
            </w:r>
            <w:r w:rsidRPr="00F86E26">
              <w:rPr>
                <w:rFonts w:eastAsia="Times New Roman" w:cs="Arial"/>
                <w:color w:val="000000" w:themeColor="text1"/>
                <w:spacing w:val="0"/>
                <w:sz w:val="20"/>
                <w:szCs w:val="20"/>
                <w:lang w:eastAsia="en-US"/>
              </w:rPr>
              <w:t>-ти РП   01.07.2024 г.</w:t>
            </w:r>
          </w:p>
        </w:tc>
        <w:tc>
          <w:tcPr>
            <w:tcW w:w="7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3709C9" w14:textId="5901B302" w:rsidR="00835378" w:rsidRPr="00F86E26" w:rsidRDefault="00835378" w:rsidP="00835378">
            <w:pPr>
              <w:spacing w:line="240" w:lineRule="auto"/>
              <w:jc w:val="center"/>
              <w:rPr>
                <w:rFonts w:eastAsia="Times New Roman" w:cs="Arial"/>
                <w:color w:val="000000" w:themeColor="text1"/>
                <w:spacing w:val="0"/>
                <w:sz w:val="20"/>
                <w:szCs w:val="20"/>
                <w:lang w:eastAsia="en-US"/>
              </w:rPr>
            </w:pPr>
            <w:r w:rsidRPr="00F86E26">
              <w:rPr>
                <w:rFonts w:eastAsia="Times New Roman" w:cs="Arial"/>
                <w:color w:val="000000" w:themeColor="text1"/>
                <w:spacing w:val="0"/>
                <w:sz w:val="20"/>
                <w:szCs w:val="20"/>
                <w:lang w:eastAsia="en-US"/>
              </w:rPr>
              <w:t>Разлика          X</w:t>
            </w:r>
            <w:r w:rsidRPr="00F86E26">
              <w:rPr>
                <w:rFonts w:eastAsia="Times New Roman" w:cs="Arial"/>
                <w:color w:val="000000" w:themeColor="text1"/>
                <w:spacing w:val="0"/>
                <w:sz w:val="20"/>
                <w:szCs w:val="20"/>
                <w:lang w:val="en-US" w:eastAsia="en-US"/>
              </w:rPr>
              <w:t>V</w:t>
            </w:r>
            <w:r w:rsidRPr="00F86E26">
              <w:rPr>
                <w:rFonts w:eastAsia="Times New Roman" w:cs="Arial"/>
                <w:color w:val="000000" w:themeColor="text1"/>
                <w:spacing w:val="0"/>
                <w:sz w:val="20"/>
                <w:szCs w:val="20"/>
                <w:lang w:eastAsia="en-US"/>
              </w:rPr>
              <w:t xml:space="preserve"> РП – 202</w:t>
            </w:r>
            <w:r w:rsidR="00A245F3" w:rsidRPr="00F86E26">
              <w:rPr>
                <w:rFonts w:eastAsia="Times New Roman" w:cs="Arial"/>
                <w:color w:val="000000" w:themeColor="text1"/>
                <w:spacing w:val="0"/>
                <w:sz w:val="20"/>
                <w:szCs w:val="20"/>
                <w:lang w:eastAsia="en-US"/>
              </w:rPr>
              <w:t>3</w:t>
            </w:r>
            <w:r w:rsidRPr="00F86E26">
              <w:rPr>
                <w:rFonts w:eastAsia="Times New Roman" w:cs="Arial"/>
                <w:color w:val="000000" w:themeColor="text1"/>
                <w:spacing w:val="0"/>
                <w:sz w:val="20"/>
                <w:szCs w:val="20"/>
                <w:lang w:eastAsia="en-US"/>
              </w:rPr>
              <w:t xml:space="preserve"> г.</w:t>
            </w:r>
          </w:p>
        </w:tc>
      </w:tr>
      <w:tr w:rsidR="00DF1640" w:rsidRPr="0057086A" w14:paraId="205A8320" w14:textId="77777777" w:rsidTr="00E61F5A">
        <w:trPr>
          <w:trHeight w:val="525"/>
        </w:trPr>
        <w:tc>
          <w:tcPr>
            <w:tcW w:w="2061" w:type="pct"/>
            <w:vMerge/>
            <w:tcBorders>
              <w:top w:val="single" w:sz="8" w:space="0" w:color="auto"/>
              <w:left w:val="single" w:sz="8" w:space="0" w:color="auto"/>
              <w:bottom w:val="single" w:sz="8" w:space="0" w:color="000000"/>
              <w:right w:val="single" w:sz="8" w:space="0" w:color="auto"/>
            </w:tcBorders>
            <w:vAlign w:val="center"/>
            <w:hideMark/>
          </w:tcPr>
          <w:p w14:paraId="40500BE2" w14:textId="77777777" w:rsidR="00C53C28" w:rsidRPr="0057086A" w:rsidRDefault="00C53C28" w:rsidP="00C53C28">
            <w:pPr>
              <w:spacing w:line="240" w:lineRule="auto"/>
              <w:jc w:val="center"/>
              <w:rPr>
                <w:rFonts w:eastAsia="Times New Roman" w:cs="Arial"/>
                <w:spacing w:val="0"/>
                <w:sz w:val="20"/>
                <w:szCs w:val="20"/>
                <w:lang w:eastAsia="en-US"/>
              </w:rPr>
            </w:pPr>
          </w:p>
        </w:tc>
        <w:tc>
          <w:tcPr>
            <w:tcW w:w="529" w:type="pct"/>
            <w:vMerge/>
            <w:tcBorders>
              <w:top w:val="single" w:sz="8" w:space="0" w:color="auto"/>
              <w:left w:val="single" w:sz="8" w:space="0" w:color="auto"/>
              <w:bottom w:val="single" w:sz="8" w:space="0" w:color="000000"/>
              <w:right w:val="single" w:sz="8" w:space="0" w:color="auto"/>
            </w:tcBorders>
            <w:vAlign w:val="center"/>
            <w:hideMark/>
          </w:tcPr>
          <w:p w14:paraId="59E4A495" w14:textId="77777777" w:rsidR="00C53C28" w:rsidRPr="0057086A" w:rsidRDefault="00C53C28" w:rsidP="00C53C28">
            <w:pPr>
              <w:spacing w:line="240" w:lineRule="auto"/>
              <w:jc w:val="center"/>
              <w:rPr>
                <w:rFonts w:eastAsia="Times New Roman" w:cs="Arial"/>
                <w:spacing w:val="0"/>
                <w:sz w:val="20"/>
                <w:szCs w:val="20"/>
                <w:lang w:eastAsia="en-US"/>
              </w:rPr>
            </w:pPr>
          </w:p>
        </w:tc>
        <w:tc>
          <w:tcPr>
            <w:tcW w:w="736" w:type="pct"/>
            <w:vMerge/>
            <w:tcBorders>
              <w:top w:val="single" w:sz="8" w:space="0" w:color="auto"/>
              <w:left w:val="single" w:sz="8" w:space="0" w:color="auto"/>
              <w:bottom w:val="single" w:sz="8" w:space="0" w:color="000000"/>
              <w:right w:val="single" w:sz="8" w:space="0" w:color="auto"/>
            </w:tcBorders>
            <w:vAlign w:val="center"/>
            <w:hideMark/>
          </w:tcPr>
          <w:p w14:paraId="338ACCE9" w14:textId="77777777" w:rsidR="00C53C28" w:rsidRPr="0057086A" w:rsidRDefault="00C53C28" w:rsidP="00C53C28">
            <w:pPr>
              <w:spacing w:line="240" w:lineRule="auto"/>
              <w:jc w:val="center"/>
              <w:rPr>
                <w:rFonts w:eastAsia="Times New Roman" w:cs="Arial"/>
                <w:spacing w:val="0"/>
                <w:sz w:val="20"/>
                <w:szCs w:val="20"/>
                <w:lang w:eastAsia="en-US"/>
              </w:rPr>
            </w:pPr>
          </w:p>
        </w:tc>
        <w:tc>
          <w:tcPr>
            <w:tcW w:w="950" w:type="pct"/>
            <w:vMerge/>
            <w:tcBorders>
              <w:top w:val="single" w:sz="8" w:space="0" w:color="auto"/>
              <w:left w:val="single" w:sz="8" w:space="0" w:color="auto"/>
              <w:bottom w:val="single" w:sz="8" w:space="0" w:color="000000"/>
              <w:right w:val="single" w:sz="8" w:space="0" w:color="auto"/>
            </w:tcBorders>
            <w:vAlign w:val="center"/>
            <w:hideMark/>
          </w:tcPr>
          <w:p w14:paraId="6EE3C5E2" w14:textId="77777777" w:rsidR="00C53C28" w:rsidRPr="0057086A" w:rsidRDefault="00C53C28" w:rsidP="00C53C28">
            <w:pPr>
              <w:spacing w:line="240" w:lineRule="auto"/>
              <w:jc w:val="center"/>
              <w:rPr>
                <w:rFonts w:eastAsia="Times New Roman" w:cs="Arial"/>
                <w:spacing w:val="0"/>
                <w:sz w:val="20"/>
                <w:szCs w:val="20"/>
                <w:lang w:eastAsia="en-US"/>
              </w:rPr>
            </w:pPr>
          </w:p>
        </w:tc>
        <w:tc>
          <w:tcPr>
            <w:tcW w:w="723" w:type="pct"/>
            <w:vMerge/>
            <w:tcBorders>
              <w:top w:val="single" w:sz="8" w:space="0" w:color="auto"/>
              <w:left w:val="single" w:sz="8" w:space="0" w:color="auto"/>
              <w:bottom w:val="single" w:sz="8" w:space="0" w:color="000000"/>
              <w:right w:val="single" w:sz="8" w:space="0" w:color="auto"/>
            </w:tcBorders>
            <w:vAlign w:val="center"/>
            <w:hideMark/>
          </w:tcPr>
          <w:p w14:paraId="332B54A1" w14:textId="77777777" w:rsidR="00C53C28" w:rsidRPr="0057086A" w:rsidRDefault="00C53C28" w:rsidP="00C53C28">
            <w:pPr>
              <w:spacing w:line="240" w:lineRule="auto"/>
              <w:jc w:val="center"/>
              <w:rPr>
                <w:rFonts w:eastAsia="Times New Roman" w:cs="Arial"/>
                <w:spacing w:val="0"/>
                <w:sz w:val="20"/>
                <w:szCs w:val="20"/>
                <w:lang w:eastAsia="en-US"/>
              </w:rPr>
            </w:pPr>
          </w:p>
        </w:tc>
      </w:tr>
      <w:tr w:rsidR="00F86E26" w:rsidRPr="0057086A" w14:paraId="437219B7" w14:textId="77777777" w:rsidTr="00245793">
        <w:trPr>
          <w:trHeight w:val="285"/>
        </w:trPr>
        <w:tc>
          <w:tcPr>
            <w:tcW w:w="2061" w:type="pct"/>
            <w:tcBorders>
              <w:top w:val="nil"/>
              <w:left w:val="single" w:sz="4" w:space="0" w:color="auto"/>
              <w:bottom w:val="single" w:sz="8" w:space="0" w:color="auto"/>
              <w:right w:val="single" w:sz="8" w:space="0" w:color="auto"/>
            </w:tcBorders>
            <w:shd w:val="clear" w:color="auto" w:fill="auto"/>
            <w:vAlign w:val="center"/>
            <w:hideMark/>
          </w:tcPr>
          <w:p w14:paraId="30FCDF9B" w14:textId="77777777" w:rsidR="00F86E26" w:rsidRPr="0057086A" w:rsidRDefault="00F86E26" w:rsidP="00F86E26">
            <w:pPr>
              <w:spacing w:line="240" w:lineRule="auto"/>
              <w:rPr>
                <w:rFonts w:eastAsia="Times New Roman" w:cs="Arial"/>
                <w:spacing w:val="0"/>
                <w:sz w:val="20"/>
                <w:szCs w:val="20"/>
                <w:lang w:eastAsia="en-US"/>
              </w:rPr>
            </w:pPr>
            <w:r w:rsidRPr="0057086A">
              <w:rPr>
                <w:rFonts w:eastAsia="Times New Roman" w:cs="Arial"/>
                <w:spacing w:val="0"/>
                <w:sz w:val="20"/>
                <w:szCs w:val="20"/>
                <w:lang w:eastAsia="en-US"/>
              </w:rPr>
              <w:t>Разходи за ремонт</w:t>
            </w:r>
          </w:p>
        </w:tc>
        <w:tc>
          <w:tcPr>
            <w:tcW w:w="529" w:type="pct"/>
            <w:tcBorders>
              <w:top w:val="nil"/>
              <w:left w:val="nil"/>
              <w:bottom w:val="single" w:sz="8" w:space="0" w:color="auto"/>
              <w:right w:val="single" w:sz="8" w:space="0" w:color="auto"/>
            </w:tcBorders>
            <w:shd w:val="clear" w:color="auto" w:fill="auto"/>
            <w:vAlign w:val="center"/>
            <w:hideMark/>
          </w:tcPr>
          <w:p w14:paraId="701B1DAA" w14:textId="77777777" w:rsidR="00F86E26" w:rsidRPr="0057086A" w:rsidRDefault="00F86E26" w:rsidP="00F86E26">
            <w:pPr>
              <w:spacing w:line="240" w:lineRule="auto"/>
              <w:rPr>
                <w:rFonts w:eastAsia="Times New Roman" w:cs="Arial"/>
                <w:spacing w:val="0"/>
                <w:sz w:val="20"/>
                <w:szCs w:val="20"/>
                <w:lang w:eastAsia="en-US"/>
              </w:rPr>
            </w:pPr>
            <w:r w:rsidRPr="0057086A">
              <w:rPr>
                <w:rFonts w:eastAsia="Times New Roman" w:cs="Arial"/>
                <w:spacing w:val="0"/>
                <w:sz w:val="20"/>
                <w:szCs w:val="20"/>
                <w:lang w:eastAsia="en-US"/>
              </w:rPr>
              <w:t>хил. лв.</w:t>
            </w:r>
          </w:p>
        </w:tc>
        <w:tc>
          <w:tcPr>
            <w:tcW w:w="736" w:type="pct"/>
            <w:tcBorders>
              <w:top w:val="nil"/>
              <w:left w:val="nil"/>
              <w:bottom w:val="single" w:sz="8" w:space="0" w:color="auto"/>
              <w:right w:val="single" w:sz="8" w:space="0" w:color="auto"/>
            </w:tcBorders>
            <w:shd w:val="clear" w:color="auto" w:fill="auto"/>
            <w:hideMark/>
          </w:tcPr>
          <w:p w14:paraId="5B4DF339" w14:textId="4A1A76B1" w:rsidR="00F86E26" w:rsidRPr="000E311E" w:rsidRDefault="000E311E" w:rsidP="00F86E26">
            <w:pPr>
              <w:spacing w:line="240" w:lineRule="auto"/>
              <w:rPr>
                <w:rFonts w:eastAsia="Times New Roman" w:cs="Arial"/>
                <w:color w:val="FF0000"/>
                <w:spacing w:val="0"/>
                <w:sz w:val="20"/>
                <w:szCs w:val="20"/>
                <w:lang w:val="en-US" w:eastAsia="en-US"/>
              </w:rPr>
            </w:pPr>
            <w:r>
              <w:rPr>
                <w:lang w:val="en-US"/>
              </w:rPr>
              <w:t>x xxx</w:t>
            </w:r>
          </w:p>
        </w:tc>
        <w:tc>
          <w:tcPr>
            <w:tcW w:w="950" w:type="pct"/>
            <w:tcBorders>
              <w:top w:val="nil"/>
              <w:left w:val="nil"/>
              <w:bottom w:val="single" w:sz="8" w:space="0" w:color="auto"/>
              <w:right w:val="single" w:sz="8" w:space="0" w:color="auto"/>
            </w:tcBorders>
            <w:shd w:val="clear" w:color="auto" w:fill="auto"/>
            <w:hideMark/>
          </w:tcPr>
          <w:p w14:paraId="5878C445" w14:textId="75301C45" w:rsidR="00F86E26" w:rsidRPr="000E311E" w:rsidRDefault="000E311E" w:rsidP="00F86E26">
            <w:pPr>
              <w:spacing w:line="240" w:lineRule="auto"/>
              <w:rPr>
                <w:rFonts w:eastAsia="Times New Roman" w:cs="Arial"/>
                <w:color w:val="FF0000"/>
                <w:spacing w:val="0"/>
                <w:sz w:val="20"/>
                <w:szCs w:val="20"/>
                <w:lang w:val="en-US" w:eastAsia="en-US"/>
              </w:rPr>
            </w:pPr>
            <w:r>
              <w:rPr>
                <w:lang w:val="en-US"/>
              </w:rPr>
              <w:t>x xxx</w:t>
            </w:r>
          </w:p>
        </w:tc>
        <w:tc>
          <w:tcPr>
            <w:tcW w:w="723" w:type="pct"/>
            <w:tcBorders>
              <w:top w:val="nil"/>
              <w:left w:val="nil"/>
              <w:bottom w:val="single" w:sz="8" w:space="0" w:color="auto"/>
              <w:right w:val="single" w:sz="8" w:space="0" w:color="auto"/>
            </w:tcBorders>
            <w:shd w:val="clear" w:color="auto" w:fill="auto"/>
            <w:hideMark/>
          </w:tcPr>
          <w:p w14:paraId="2C0E80DB" w14:textId="6170B713" w:rsidR="00F86E26" w:rsidRPr="000E311E" w:rsidRDefault="000E311E" w:rsidP="00F86E26">
            <w:pPr>
              <w:spacing w:line="240" w:lineRule="auto"/>
              <w:rPr>
                <w:rFonts w:eastAsia="Times New Roman" w:cs="Arial"/>
                <w:color w:val="FF0000"/>
                <w:spacing w:val="0"/>
                <w:sz w:val="20"/>
                <w:szCs w:val="20"/>
                <w:lang w:val="en-US" w:eastAsia="en-US"/>
              </w:rPr>
            </w:pPr>
            <w:r>
              <w:rPr>
                <w:lang w:val="en-US"/>
              </w:rPr>
              <w:t>xx</w:t>
            </w:r>
          </w:p>
        </w:tc>
      </w:tr>
    </w:tbl>
    <w:p w14:paraId="33793BE4" w14:textId="66543213" w:rsidR="009242AD" w:rsidRPr="00AB5E28" w:rsidRDefault="001C21F9" w:rsidP="009242AD">
      <w:pPr>
        <w:rPr>
          <w:color w:val="FF0000"/>
        </w:rPr>
      </w:pPr>
      <w:r w:rsidRPr="0057086A">
        <w:tab/>
      </w:r>
      <w:r w:rsidRPr="0057086A">
        <w:tab/>
      </w:r>
      <w:r w:rsidRPr="00AB5E28">
        <w:rPr>
          <w:color w:val="FF0000"/>
        </w:rPr>
        <w:tab/>
      </w:r>
      <w:r w:rsidRPr="00AB5E28">
        <w:rPr>
          <w:color w:val="FF0000"/>
        </w:rPr>
        <w:tab/>
      </w:r>
      <w:r w:rsidRPr="00AB5E28">
        <w:rPr>
          <w:color w:val="FF0000"/>
        </w:rPr>
        <w:tab/>
      </w:r>
    </w:p>
    <w:p w14:paraId="4CFB5C84" w14:textId="77777777" w:rsidR="009242AD" w:rsidRPr="00490011" w:rsidRDefault="009242AD" w:rsidP="00C72E5E">
      <w:pPr>
        <w:ind w:left="709"/>
        <w:rPr>
          <w:color w:val="000000" w:themeColor="text1"/>
        </w:rPr>
      </w:pPr>
      <w:r w:rsidRPr="00490011">
        <w:rPr>
          <w:color w:val="000000" w:themeColor="text1"/>
        </w:rPr>
        <w:t>Основните обекти в ремонтната програма са:</w:t>
      </w:r>
    </w:p>
    <w:p w14:paraId="6531C7A7" w14:textId="13C3A706" w:rsidR="00490011" w:rsidRPr="00490011" w:rsidRDefault="00490011" w:rsidP="00A11940">
      <w:pPr>
        <w:ind w:left="709"/>
        <w:rPr>
          <w:color w:val="000000" w:themeColor="text1"/>
        </w:rPr>
      </w:pPr>
      <w:r w:rsidRPr="00490011">
        <w:rPr>
          <w:color w:val="000000" w:themeColor="text1"/>
        </w:rPr>
        <w:t>Аварийни ремонти топлопреносна мрежа</w:t>
      </w:r>
      <w:r w:rsidRPr="00490011">
        <w:rPr>
          <w:color w:val="000000" w:themeColor="text1"/>
          <w:lang w:val="en-US"/>
        </w:rPr>
        <w:t xml:space="preserve">: </w:t>
      </w:r>
      <w:r w:rsidR="000E311E">
        <w:rPr>
          <w:color w:val="000000" w:themeColor="text1"/>
          <w:lang w:val="en-US"/>
        </w:rPr>
        <w:t>xxx</w:t>
      </w:r>
      <w:r w:rsidRPr="00490011">
        <w:rPr>
          <w:color w:val="000000" w:themeColor="text1"/>
          <w:lang w:val="en-US"/>
        </w:rPr>
        <w:t xml:space="preserve"> </w:t>
      </w:r>
      <w:r w:rsidRPr="00490011">
        <w:rPr>
          <w:color w:val="000000" w:themeColor="text1"/>
        </w:rPr>
        <w:t>хил. лв.</w:t>
      </w:r>
    </w:p>
    <w:p w14:paraId="135114ED" w14:textId="7617F119" w:rsidR="00A11940" w:rsidRPr="00490011" w:rsidRDefault="00A11940" w:rsidP="00A11940">
      <w:pPr>
        <w:ind w:left="709"/>
        <w:rPr>
          <w:color w:val="000000" w:themeColor="text1"/>
        </w:rPr>
      </w:pPr>
      <w:r w:rsidRPr="00490011">
        <w:rPr>
          <w:color w:val="000000" w:themeColor="text1"/>
        </w:rPr>
        <w:t xml:space="preserve">Инспекция на газова турбина SGT-700 – </w:t>
      </w:r>
      <w:r w:rsidR="000E311E">
        <w:rPr>
          <w:color w:val="000000" w:themeColor="text1"/>
          <w:lang w:val="en-US"/>
        </w:rPr>
        <w:t>xx</w:t>
      </w:r>
      <w:r w:rsidRPr="00490011">
        <w:rPr>
          <w:color w:val="000000" w:themeColor="text1"/>
        </w:rPr>
        <w:t xml:space="preserve"> хил. лв.</w:t>
      </w:r>
    </w:p>
    <w:p w14:paraId="600DEBA0" w14:textId="1B745875" w:rsidR="00490011" w:rsidRPr="00490011" w:rsidRDefault="00490011" w:rsidP="00A11940">
      <w:pPr>
        <w:ind w:left="709"/>
        <w:rPr>
          <w:color w:val="000000" w:themeColor="text1"/>
        </w:rPr>
      </w:pPr>
      <w:r w:rsidRPr="00490011">
        <w:rPr>
          <w:color w:val="000000" w:themeColor="text1"/>
        </w:rPr>
        <w:t xml:space="preserve">Смяна на масло Когенерация – </w:t>
      </w:r>
      <w:r w:rsidR="000E311E">
        <w:rPr>
          <w:color w:val="000000" w:themeColor="text1"/>
          <w:lang w:val="en-US"/>
        </w:rPr>
        <w:t>xxx</w:t>
      </w:r>
      <w:r w:rsidRPr="00490011">
        <w:rPr>
          <w:color w:val="000000" w:themeColor="text1"/>
        </w:rPr>
        <w:t xml:space="preserve"> хил. лв.</w:t>
      </w:r>
    </w:p>
    <w:p w14:paraId="7F5060C2" w14:textId="68866047" w:rsidR="00BE66B4" w:rsidRPr="00490011" w:rsidRDefault="00BE66B4" w:rsidP="00BE66B4">
      <w:pPr>
        <w:ind w:left="709"/>
        <w:rPr>
          <w:color w:val="000000" w:themeColor="text1"/>
        </w:rPr>
      </w:pPr>
      <w:r w:rsidRPr="00490011">
        <w:rPr>
          <w:color w:val="000000" w:themeColor="text1"/>
        </w:rPr>
        <w:t xml:space="preserve">Ремонт на абонатни станции на стойност - </w:t>
      </w:r>
      <w:r w:rsidR="000E311E">
        <w:rPr>
          <w:color w:val="000000" w:themeColor="text1"/>
          <w:lang w:val="en-US"/>
        </w:rPr>
        <w:t>xx</w:t>
      </w:r>
      <w:r w:rsidRPr="00490011">
        <w:rPr>
          <w:color w:val="000000" w:themeColor="text1"/>
        </w:rPr>
        <w:t xml:space="preserve"> хил. лева</w:t>
      </w:r>
    </w:p>
    <w:p w14:paraId="121A545D" w14:textId="73CB13AE" w:rsidR="00A11940" w:rsidRPr="00490011" w:rsidRDefault="00A11940" w:rsidP="00A11940">
      <w:pPr>
        <w:ind w:left="709"/>
        <w:rPr>
          <w:color w:val="000000" w:themeColor="text1"/>
        </w:rPr>
      </w:pPr>
      <w:r w:rsidRPr="00490011">
        <w:rPr>
          <w:color w:val="000000" w:themeColor="text1"/>
        </w:rPr>
        <w:t xml:space="preserve">Подмяна на топлоизолация в топлопреносната мрежа – </w:t>
      </w:r>
      <w:r w:rsidR="000E311E">
        <w:rPr>
          <w:color w:val="000000" w:themeColor="text1"/>
          <w:lang w:val="en-US"/>
        </w:rPr>
        <w:t>xx</w:t>
      </w:r>
      <w:r w:rsidRPr="00490011">
        <w:rPr>
          <w:color w:val="000000" w:themeColor="text1"/>
        </w:rPr>
        <w:t xml:space="preserve"> хил. лв.</w:t>
      </w:r>
    </w:p>
    <w:p w14:paraId="1AF9A0F2" w14:textId="6884F3F5" w:rsidR="00BE66B4" w:rsidRPr="00490011" w:rsidRDefault="00BE66B4" w:rsidP="00A11940">
      <w:pPr>
        <w:ind w:left="709"/>
        <w:rPr>
          <w:color w:val="000000" w:themeColor="text1"/>
        </w:rPr>
      </w:pPr>
      <w:r w:rsidRPr="00490011">
        <w:rPr>
          <w:color w:val="000000" w:themeColor="text1"/>
        </w:rPr>
        <w:t xml:space="preserve">Ремонт на помпи LAC– </w:t>
      </w:r>
      <w:r w:rsidR="000E311E">
        <w:rPr>
          <w:color w:val="000000" w:themeColor="text1"/>
          <w:lang w:val="en-US"/>
        </w:rPr>
        <w:t>xx</w:t>
      </w:r>
      <w:r w:rsidRPr="00490011">
        <w:rPr>
          <w:color w:val="000000" w:themeColor="text1"/>
        </w:rPr>
        <w:t xml:space="preserve"> хил. лв.</w:t>
      </w:r>
    </w:p>
    <w:p w14:paraId="24B793B7" w14:textId="08B1617B" w:rsidR="00A11940" w:rsidRPr="00490011" w:rsidRDefault="00A11940" w:rsidP="00A11940">
      <w:pPr>
        <w:ind w:left="709"/>
        <w:rPr>
          <w:color w:val="000000" w:themeColor="text1"/>
        </w:rPr>
      </w:pPr>
      <w:r w:rsidRPr="00490011">
        <w:rPr>
          <w:color w:val="000000" w:themeColor="text1"/>
        </w:rPr>
        <w:t xml:space="preserve">Инспекция на парна турбина SST-300 – </w:t>
      </w:r>
      <w:r w:rsidR="000E311E">
        <w:rPr>
          <w:color w:val="000000" w:themeColor="text1"/>
          <w:lang w:val="en-US"/>
        </w:rPr>
        <w:t>xx</w:t>
      </w:r>
      <w:r w:rsidRPr="00490011">
        <w:rPr>
          <w:color w:val="000000" w:themeColor="text1"/>
        </w:rPr>
        <w:t xml:space="preserve"> хил. лв.</w:t>
      </w:r>
    </w:p>
    <w:p w14:paraId="7ABE0DB4" w14:textId="1B1C5006" w:rsidR="00BE66B4" w:rsidRPr="00490011" w:rsidRDefault="00BE66B4" w:rsidP="00BE66B4">
      <w:pPr>
        <w:ind w:left="709"/>
        <w:rPr>
          <w:color w:val="000000" w:themeColor="text1"/>
        </w:rPr>
      </w:pPr>
      <w:r w:rsidRPr="00490011">
        <w:rPr>
          <w:color w:val="000000" w:themeColor="text1"/>
        </w:rPr>
        <w:t xml:space="preserve">Поддръжка на водогрейни котли – </w:t>
      </w:r>
      <w:r w:rsidR="000E311E">
        <w:rPr>
          <w:color w:val="000000" w:themeColor="text1"/>
          <w:lang w:val="en-US"/>
        </w:rPr>
        <w:t>xx</w:t>
      </w:r>
      <w:r w:rsidRPr="00490011">
        <w:rPr>
          <w:color w:val="000000" w:themeColor="text1"/>
        </w:rPr>
        <w:t xml:space="preserve"> хил. лв.</w:t>
      </w:r>
    </w:p>
    <w:p w14:paraId="289C8817" w14:textId="649D8F83" w:rsidR="00A11940" w:rsidRPr="00490011" w:rsidRDefault="00A11940" w:rsidP="00A11940">
      <w:pPr>
        <w:ind w:left="709"/>
        <w:rPr>
          <w:color w:val="000000" w:themeColor="text1"/>
        </w:rPr>
      </w:pPr>
      <w:r w:rsidRPr="00490011">
        <w:rPr>
          <w:color w:val="000000" w:themeColor="text1"/>
        </w:rPr>
        <w:t xml:space="preserve">Поддръжка на компресори за сгъстен въздух – </w:t>
      </w:r>
      <w:r w:rsidR="000E311E">
        <w:rPr>
          <w:color w:val="000000" w:themeColor="text1"/>
          <w:lang w:val="en-US"/>
        </w:rPr>
        <w:t>xx</w:t>
      </w:r>
      <w:r w:rsidRPr="00490011">
        <w:rPr>
          <w:color w:val="000000" w:themeColor="text1"/>
        </w:rPr>
        <w:t xml:space="preserve"> хил. лв.</w:t>
      </w:r>
    </w:p>
    <w:p w14:paraId="6528C636" w14:textId="259ABB19" w:rsidR="009242AD" w:rsidRPr="0057086A" w:rsidRDefault="000B58AB" w:rsidP="00226ECF">
      <w:pPr>
        <w:pStyle w:val="Heading3"/>
        <w:numPr>
          <w:ilvl w:val="3"/>
          <w:numId w:val="12"/>
        </w:numPr>
        <w:tabs>
          <w:tab w:val="clear" w:pos="709"/>
        </w:tabs>
        <w:spacing w:before="240" w:line="240" w:lineRule="auto"/>
        <w:rPr>
          <w:b/>
          <w:color w:val="auto"/>
          <w:sz w:val="20"/>
        </w:rPr>
      </w:pPr>
      <w:r w:rsidRPr="0057086A">
        <w:rPr>
          <w:b/>
          <w:color w:val="auto"/>
          <w:sz w:val="20"/>
        </w:rPr>
        <w:t>Разходи свързани с персонала</w:t>
      </w:r>
    </w:p>
    <w:p w14:paraId="3C087F9B" w14:textId="4172620B" w:rsidR="000B58AB" w:rsidRPr="0057086A" w:rsidRDefault="000B58AB" w:rsidP="000B58AB"/>
    <w:p w14:paraId="6E1179A5" w14:textId="79FB6451" w:rsidR="00235D8B" w:rsidRPr="00416E99" w:rsidRDefault="00235D8B" w:rsidP="00235D8B">
      <w:pPr>
        <w:ind w:left="709"/>
        <w:rPr>
          <w:color w:val="000000" w:themeColor="text1"/>
        </w:rPr>
      </w:pPr>
      <w:r w:rsidRPr="00416E99">
        <w:rPr>
          <w:color w:val="000000" w:themeColor="text1"/>
        </w:rPr>
        <w:t>Планира се увеличение на разходи за регулирана дейност свързани с персонала през 202</w:t>
      </w:r>
      <w:r w:rsidR="000E5298" w:rsidRPr="00416E99">
        <w:rPr>
          <w:color w:val="000000" w:themeColor="text1"/>
        </w:rPr>
        <w:t>4</w:t>
      </w:r>
      <w:r w:rsidR="004C5529" w:rsidRPr="00416E99">
        <w:rPr>
          <w:color w:val="000000" w:themeColor="text1"/>
          <w:lang w:val="en-US"/>
        </w:rPr>
        <w:t>-2</w:t>
      </w:r>
      <w:r w:rsidR="000E5298" w:rsidRPr="00416E99">
        <w:rPr>
          <w:color w:val="000000" w:themeColor="text1"/>
        </w:rPr>
        <w:t>5</w:t>
      </w:r>
      <w:r w:rsidRPr="00416E99">
        <w:rPr>
          <w:color w:val="000000" w:themeColor="text1"/>
        </w:rPr>
        <w:t xml:space="preserve"> г., до </w:t>
      </w:r>
      <w:r w:rsidR="000E311E">
        <w:rPr>
          <w:color w:val="000000" w:themeColor="text1"/>
          <w:lang w:val="en-US"/>
        </w:rPr>
        <w:t>x xxx</w:t>
      </w:r>
      <w:r w:rsidRPr="00416E99">
        <w:rPr>
          <w:color w:val="000000" w:themeColor="text1"/>
        </w:rPr>
        <w:t xml:space="preserve"> хил. лв. основно поради нарастване на разходите за заплати и възнаграждения</w:t>
      </w:r>
      <w:r w:rsidR="000E5298" w:rsidRPr="00416E99">
        <w:rPr>
          <w:color w:val="000000" w:themeColor="text1"/>
        </w:rPr>
        <w:t xml:space="preserve"> и увеличението на осигурителния праг</w:t>
      </w:r>
      <w:r w:rsidRPr="00416E99">
        <w:rPr>
          <w:color w:val="000000" w:themeColor="text1"/>
        </w:rPr>
        <w:t>. В планираните разходи не са включени разходи непризнати за целите на ценовото регулиране съгласно чл. 8, ал. 2 от Наредба № 5 за регулиране на цените на топлинната енергия.</w:t>
      </w:r>
    </w:p>
    <w:p w14:paraId="63A64242" w14:textId="0278F479" w:rsidR="00C77FEC" w:rsidRPr="00416E99" w:rsidRDefault="00235D8B" w:rsidP="00C70275">
      <w:pPr>
        <w:ind w:left="709"/>
        <w:rPr>
          <w:color w:val="000000" w:themeColor="text1"/>
        </w:rPr>
      </w:pPr>
      <w:r w:rsidRPr="00416E99">
        <w:rPr>
          <w:color w:val="000000" w:themeColor="text1"/>
        </w:rPr>
        <w:t>Основните пера в разходите за персонал са както следва:</w:t>
      </w:r>
    </w:p>
    <w:p w14:paraId="727EE828" w14:textId="77777777" w:rsidR="00C77FEC" w:rsidRPr="00416E99" w:rsidRDefault="00235D8B" w:rsidP="000B58AB">
      <w:pPr>
        <w:rPr>
          <w:color w:val="000000" w:themeColor="text1"/>
        </w:rPr>
      </w:pPr>
      <w:r w:rsidRPr="00416E99">
        <w:rPr>
          <w:color w:val="000000" w:themeColor="text1"/>
        </w:rPr>
        <w:t xml:space="preserve">  </w:t>
      </w:r>
    </w:p>
    <w:tbl>
      <w:tblPr>
        <w:tblW w:w="0" w:type="auto"/>
        <w:tblLook w:val="04A0" w:firstRow="1" w:lastRow="0" w:firstColumn="1" w:lastColumn="0" w:noHBand="0" w:noVBand="1"/>
      </w:tblPr>
      <w:tblGrid>
        <w:gridCol w:w="3654"/>
        <w:gridCol w:w="827"/>
        <w:gridCol w:w="1494"/>
        <w:gridCol w:w="2090"/>
        <w:gridCol w:w="1553"/>
      </w:tblGrid>
      <w:tr w:rsidR="00416E99" w:rsidRPr="00416E99" w14:paraId="30902CAB" w14:textId="77777777" w:rsidTr="00C77FEC">
        <w:trPr>
          <w:trHeight w:val="28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9D398D" w14:textId="77777777" w:rsidR="00A245F3" w:rsidRPr="00416E99" w:rsidRDefault="00A245F3" w:rsidP="00A245F3">
            <w:pPr>
              <w:spacing w:line="240" w:lineRule="auto"/>
              <w:jc w:val="center"/>
              <w:rPr>
                <w:rFonts w:eastAsia="Times New Roman" w:cs="Arial"/>
                <w:color w:val="000000" w:themeColor="text1"/>
                <w:spacing w:val="0"/>
                <w:sz w:val="20"/>
                <w:szCs w:val="20"/>
                <w:lang w:eastAsia="en-US"/>
              </w:rPr>
            </w:pPr>
            <w:r w:rsidRPr="00416E99">
              <w:rPr>
                <w:rFonts w:eastAsia="Times New Roman" w:cs="Arial"/>
                <w:color w:val="000000" w:themeColor="text1"/>
                <w:spacing w:val="0"/>
                <w:sz w:val="20"/>
                <w:szCs w:val="20"/>
                <w:lang w:eastAsia="en-US"/>
              </w:rPr>
              <w:t>НАИМЕНОВАНИЕ НА РАЗХОДА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FB582CD" w14:textId="77777777" w:rsidR="00A245F3" w:rsidRPr="00416E99" w:rsidRDefault="00A245F3" w:rsidP="00A245F3">
            <w:pPr>
              <w:spacing w:line="240" w:lineRule="auto"/>
              <w:jc w:val="center"/>
              <w:rPr>
                <w:rFonts w:eastAsia="Times New Roman" w:cs="Arial"/>
                <w:color w:val="000000" w:themeColor="text1"/>
                <w:spacing w:val="0"/>
                <w:sz w:val="20"/>
                <w:szCs w:val="20"/>
                <w:lang w:eastAsia="en-US"/>
              </w:rPr>
            </w:pPr>
            <w:r w:rsidRPr="00416E99">
              <w:rPr>
                <w:rFonts w:eastAsia="Times New Roman" w:cs="Arial"/>
                <w:color w:val="000000" w:themeColor="text1"/>
                <w:spacing w:val="0"/>
                <w:sz w:val="20"/>
                <w:szCs w:val="20"/>
                <w:lang w:eastAsia="en-US"/>
              </w:rPr>
              <w:t>МЯРКА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167F599" w14:textId="6B72D9B3" w:rsidR="00A245F3" w:rsidRPr="00416E99" w:rsidRDefault="00A245F3" w:rsidP="00A245F3">
            <w:pPr>
              <w:spacing w:line="240" w:lineRule="auto"/>
              <w:jc w:val="center"/>
              <w:rPr>
                <w:rFonts w:eastAsia="Times New Roman" w:cs="Arial"/>
                <w:color w:val="000000" w:themeColor="text1"/>
                <w:spacing w:val="0"/>
                <w:sz w:val="20"/>
                <w:szCs w:val="20"/>
                <w:lang w:eastAsia="en-US"/>
              </w:rPr>
            </w:pPr>
            <w:r w:rsidRPr="00416E99">
              <w:rPr>
                <w:rFonts w:eastAsia="Times New Roman" w:cs="Arial"/>
                <w:color w:val="000000" w:themeColor="text1"/>
                <w:spacing w:val="0"/>
                <w:sz w:val="20"/>
                <w:szCs w:val="20"/>
                <w:lang w:eastAsia="en-US"/>
              </w:rPr>
              <w:t>Отчет за базовата 2023 г.</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45C3A1" w14:textId="609CACCC" w:rsidR="00A245F3" w:rsidRPr="00416E99" w:rsidRDefault="00A245F3" w:rsidP="00A245F3">
            <w:pPr>
              <w:spacing w:line="240" w:lineRule="auto"/>
              <w:jc w:val="center"/>
              <w:rPr>
                <w:rFonts w:eastAsia="Times New Roman" w:cs="Arial"/>
                <w:color w:val="000000" w:themeColor="text1"/>
                <w:spacing w:val="0"/>
                <w:sz w:val="20"/>
                <w:szCs w:val="20"/>
                <w:lang w:eastAsia="en-US"/>
              </w:rPr>
            </w:pPr>
            <w:r w:rsidRPr="00416E99">
              <w:rPr>
                <w:rFonts w:eastAsia="Times New Roman" w:cs="Arial"/>
                <w:color w:val="000000" w:themeColor="text1"/>
                <w:spacing w:val="0"/>
                <w:sz w:val="20"/>
                <w:szCs w:val="20"/>
                <w:lang w:eastAsia="en-US"/>
              </w:rPr>
              <w:t>Прогноза в цени X</w:t>
            </w:r>
            <w:r w:rsidRPr="00416E99">
              <w:rPr>
                <w:rFonts w:eastAsia="Times New Roman" w:cs="Arial"/>
                <w:color w:val="000000" w:themeColor="text1"/>
                <w:spacing w:val="0"/>
                <w:sz w:val="20"/>
                <w:szCs w:val="20"/>
                <w:lang w:val="en-US" w:eastAsia="en-US"/>
              </w:rPr>
              <w:t>V</w:t>
            </w:r>
            <w:r w:rsidRPr="00416E99">
              <w:rPr>
                <w:rFonts w:eastAsia="Times New Roman" w:cs="Arial"/>
                <w:color w:val="000000" w:themeColor="text1"/>
                <w:spacing w:val="0"/>
                <w:sz w:val="20"/>
                <w:szCs w:val="20"/>
                <w:lang w:eastAsia="en-US"/>
              </w:rPr>
              <w:t>-ти РП   01.07.2024 г.</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6EB130" w14:textId="32B874F3" w:rsidR="00A245F3" w:rsidRPr="00416E99" w:rsidRDefault="00A245F3" w:rsidP="00A245F3">
            <w:pPr>
              <w:spacing w:line="240" w:lineRule="auto"/>
              <w:jc w:val="center"/>
              <w:rPr>
                <w:rFonts w:eastAsia="Times New Roman" w:cs="Arial"/>
                <w:color w:val="000000" w:themeColor="text1"/>
                <w:spacing w:val="0"/>
                <w:sz w:val="20"/>
                <w:szCs w:val="20"/>
                <w:lang w:eastAsia="en-US"/>
              </w:rPr>
            </w:pPr>
            <w:r w:rsidRPr="00416E99">
              <w:rPr>
                <w:rFonts w:eastAsia="Times New Roman" w:cs="Arial"/>
                <w:color w:val="000000" w:themeColor="text1"/>
                <w:spacing w:val="0"/>
                <w:sz w:val="20"/>
                <w:szCs w:val="20"/>
                <w:lang w:eastAsia="en-US"/>
              </w:rPr>
              <w:t>Разлика          X</w:t>
            </w:r>
            <w:r w:rsidRPr="00416E99">
              <w:rPr>
                <w:rFonts w:eastAsia="Times New Roman" w:cs="Arial"/>
                <w:color w:val="000000" w:themeColor="text1"/>
                <w:spacing w:val="0"/>
                <w:sz w:val="20"/>
                <w:szCs w:val="20"/>
                <w:lang w:val="en-US" w:eastAsia="en-US"/>
              </w:rPr>
              <w:t>V</w:t>
            </w:r>
            <w:r w:rsidRPr="00416E99">
              <w:rPr>
                <w:rFonts w:eastAsia="Times New Roman" w:cs="Arial"/>
                <w:color w:val="000000" w:themeColor="text1"/>
                <w:spacing w:val="0"/>
                <w:sz w:val="20"/>
                <w:szCs w:val="20"/>
                <w:lang w:eastAsia="en-US"/>
              </w:rPr>
              <w:t xml:space="preserve"> РП – 2023 г.</w:t>
            </w:r>
          </w:p>
        </w:tc>
      </w:tr>
      <w:tr w:rsidR="00416E99" w:rsidRPr="00416E99" w14:paraId="515B7D49" w14:textId="77777777" w:rsidTr="00C77FEC">
        <w:trPr>
          <w:trHeight w:val="66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60E78BC" w14:textId="77777777" w:rsidR="00C77FEC" w:rsidRPr="00416E99" w:rsidRDefault="00C77FEC" w:rsidP="00C77FEC">
            <w:pPr>
              <w:spacing w:line="240" w:lineRule="auto"/>
              <w:rPr>
                <w:rFonts w:eastAsia="Times New Roman" w:cs="Arial"/>
                <w:color w:val="000000" w:themeColor="text1"/>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43A8B42" w14:textId="77777777" w:rsidR="00C77FEC" w:rsidRPr="00416E99" w:rsidRDefault="00C77FEC" w:rsidP="00C77FEC">
            <w:pPr>
              <w:spacing w:line="240" w:lineRule="auto"/>
              <w:rPr>
                <w:rFonts w:eastAsia="Times New Roman" w:cs="Arial"/>
                <w:color w:val="000000" w:themeColor="text1"/>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4FD16FB" w14:textId="77777777" w:rsidR="00C77FEC" w:rsidRPr="00416E99" w:rsidRDefault="00C77FEC" w:rsidP="00C77FEC">
            <w:pPr>
              <w:spacing w:line="240" w:lineRule="auto"/>
              <w:rPr>
                <w:rFonts w:eastAsia="Times New Roman" w:cs="Arial"/>
                <w:color w:val="000000" w:themeColor="text1"/>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C6750E9" w14:textId="77777777" w:rsidR="00C77FEC" w:rsidRPr="00416E99" w:rsidRDefault="00C77FEC" w:rsidP="00C77FEC">
            <w:pPr>
              <w:spacing w:line="240" w:lineRule="auto"/>
              <w:rPr>
                <w:rFonts w:eastAsia="Times New Roman" w:cs="Arial"/>
                <w:color w:val="000000" w:themeColor="text1"/>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297B730" w14:textId="77777777" w:rsidR="00C77FEC" w:rsidRPr="00416E99" w:rsidRDefault="00C77FEC" w:rsidP="00C77FEC">
            <w:pPr>
              <w:spacing w:line="240" w:lineRule="auto"/>
              <w:rPr>
                <w:rFonts w:eastAsia="Times New Roman" w:cs="Arial"/>
                <w:color w:val="000000" w:themeColor="text1"/>
                <w:spacing w:val="0"/>
                <w:sz w:val="20"/>
                <w:szCs w:val="20"/>
                <w:lang w:eastAsia="en-US"/>
              </w:rPr>
            </w:pPr>
          </w:p>
        </w:tc>
      </w:tr>
      <w:tr w:rsidR="00416E99" w:rsidRPr="00416E99" w14:paraId="2005C2A6" w14:textId="77777777" w:rsidTr="004C75E7">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E232FC" w14:textId="77777777" w:rsidR="00694543" w:rsidRPr="00416E99" w:rsidRDefault="00694543" w:rsidP="00694543">
            <w:pPr>
              <w:spacing w:line="240" w:lineRule="auto"/>
              <w:rPr>
                <w:rFonts w:eastAsia="Times New Roman" w:cs="Arial"/>
                <w:color w:val="000000" w:themeColor="text1"/>
                <w:spacing w:val="0"/>
                <w:sz w:val="20"/>
                <w:szCs w:val="20"/>
                <w:lang w:eastAsia="en-US"/>
              </w:rPr>
            </w:pPr>
            <w:bookmarkStart w:id="21" w:name="_Hlk162268768"/>
            <w:r w:rsidRPr="00416E99">
              <w:rPr>
                <w:rFonts w:eastAsia="Times New Roman" w:cs="Arial"/>
                <w:color w:val="000000" w:themeColor="text1"/>
                <w:spacing w:val="0"/>
                <w:sz w:val="20"/>
                <w:szCs w:val="20"/>
                <w:lang w:eastAsia="en-US"/>
              </w:rPr>
              <w:t>Разходи за заплати и възнаграждения</w:t>
            </w:r>
          </w:p>
        </w:tc>
        <w:tc>
          <w:tcPr>
            <w:tcW w:w="0" w:type="auto"/>
            <w:tcBorders>
              <w:top w:val="nil"/>
              <w:left w:val="nil"/>
              <w:bottom w:val="single" w:sz="4" w:space="0" w:color="auto"/>
              <w:right w:val="single" w:sz="4" w:space="0" w:color="auto"/>
            </w:tcBorders>
            <w:shd w:val="clear" w:color="auto" w:fill="auto"/>
            <w:noWrap/>
            <w:vAlign w:val="center"/>
            <w:hideMark/>
          </w:tcPr>
          <w:p w14:paraId="29CAC2BE" w14:textId="77777777" w:rsidR="00694543" w:rsidRPr="00416E99" w:rsidRDefault="00694543" w:rsidP="00694543">
            <w:pPr>
              <w:spacing w:line="240" w:lineRule="auto"/>
              <w:jc w:val="center"/>
              <w:rPr>
                <w:rFonts w:eastAsia="Times New Roman" w:cs="Arial"/>
                <w:color w:val="000000" w:themeColor="text1"/>
                <w:spacing w:val="0"/>
                <w:sz w:val="20"/>
                <w:szCs w:val="20"/>
                <w:lang w:eastAsia="en-US"/>
              </w:rPr>
            </w:pPr>
            <w:r w:rsidRPr="00416E99">
              <w:rPr>
                <w:rFonts w:eastAsia="Times New Roman" w:cs="Arial"/>
                <w:color w:val="000000" w:themeColor="text1"/>
                <w:spacing w:val="0"/>
                <w:sz w:val="20"/>
                <w:szCs w:val="20"/>
                <w:lang w:eastAsia="en-US"/>
              </w:rPr>
              <w:t xml:space="preserve">хил. </w:t>
            </w:r>
            <w:proofErr w:type="spellStart"/>
            <w:r w:rsidRPr="00416E99">
              <w:rPr>
                <w:rFonts w:eastAsia="Times New Roman" w:cs="Arial"/>
                <w:color w:val="000000" w:themeColor="text1"/>
                <w:spacing w:val="0"/>
                <w:sz w:val="20"/>
                <w:szCs w:val="20"/>
                <w:lang w:eastAsia="en-US"/>
              </w:rPr>
              <w:t>лв</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629DBAA7" w14:textId="763590F7" w:rsidR="00694543" w:rsidRPr="000E311E" w:rsidRDefault="000E311E" w:rsidP="00694543">
            <w:pPr>
              <w:spacing w:line="240" w:lineRule="auto"/>
              <w:jc w:val="center"/>
              <w:rPr>
                <w:rFonts w:eastAsia="Times New Roman" w:cs="Arial"/>
                <w:color w:val="000000" w:themeColor="text1"/>
                <w:spacing w:val="0"/>
                <w:sz w:val="20"/>
                <w:szCs w:val="20"/>
                <w:lang w:val="en-US" w:eastAsia="en-US"/>
              </w:rPr>
            </w:pPr>
            <w:r>
              <w:rPr>
                <w:rFonts w:cs="Arial"/>
                <w:color w:val="000000" w:themeColor="text1"/>
                <w:sz w:val="20"/>
                <w:szCs w:val="20"/>
                <w:lang w:val="en-US"/>
              </w:rPr>
              <w:t>x xxx</w:t>
            </w:r>
          </w:p>
        </w:tc>
        <w:tc>
          <w:tcPr>
            <w:tcW w:w="0" w:type="auto"/>
            <w:tcBorders>
              <w:top w:val="nil"/>
              <w:left w:val="nil"/>
              <w:bottom w:val="single" w:sz="4" w:space="0" w:color="auto"/>
              <w:right w:val="single" w:sz="4" w:space="0" w:color="auto"/>
            </w:tcBorders>
            <w:shd w:val="clear" w:color="auto" w:fill="auto"/>
            <w:noWrap/>
            <w:vAlign w:val="bottom"/>
            <w:hideMark/>
          </w:tcPr>
          <w:p w14:paraId="580E8B62" w14:textId="4299B314" w:rsidR="00694543" w:rsidRPr="000E311E" w:rsidRDefault="000E311E" w:rsidP="00694543">
            <w:pPr>
              <w:spacing w:line="240" w:lineRule="auto"/>
              <w:jc w:val="center"/>
              <w:rPr>
                <w:rFonts w:eastAsia="Times New Roman" w:cs="Arial"/>
                <w:color w:val="000000" w:themeColor="text1"/>
                <w:spacing w:val="0"/>
                <w:sz w:val="20"/>
                <w:szCs w:val="20"/>
                <w:lang w:val="en-US" w:eastAsia="en-US"/>
              </w:rPr>
            </w:pPr>
            <w:r>
              <w:rPr>
                <w:rFonts w:cs="Arial"/>
                <w:color w:val="000000" w:themeColor="text1"/>
                <w:sz w:val="20"/>
                <w:szCs w:val="20"/>
                <w:lang w:val="en-US"/>
              </w:rPr>
              <w:t>x xxx</w:t>
            </w:r>
          </w:p>
        </w:tc>
        <w:tc>
          <w:tcPr>
            <w:tcW w:w="0" w:type="auto"/>
            <w:tcBorders>
              <w:top w:val="nil"/>
              <w:left w:val="nil"/>
              <w:bottom w:val="single" w:sz="4" w:space="0" w:color="auto"/>
              <w:right w:val="single" w:sz="4" w:space="0" w:color="auto"/>
            </w:tcBorders>
            <w:shd w:val="clear" w:color="auto" w:fill="auto"/>
            <w:noWrap/>
            <w:vAlign w:val="bottom"/>
            <w:hideMark/>
          </w:tcPr>
          <w:p w14:paraId="41060BF6" w14:textId="5AA270E7" w:rsidR="00694543" w:rsidRPr="000E311E" w:rsidRDefault="000E311E" w:rsidP="00694543">
            <w:pPr>
              <w:spacing w:line="240" w:lineRule="auto"/>
              <w:jc w:val="center"/>
              <w:rPr>
                <w:rFonts w:eastAsia="Times New Roman" w:cs="Arial"/>
                <w:color w:val="000000" w:themeColor="text1"/>
                <w:spacing w:val="0"/>
                <w:sz w:val="20"/>
                <w:szCs w:val="20"/>
                <w:lang w:val="en-US" w:eastAsia="en-US"/>
              </w:rPr>
            </w:pPr>
            <w:r>
              <w:rPr>
                <w:rFonts w:cs="Arial"/>
                <w:color w:val="000000" w:themeColor="text1"/>
                <w:sz w:val="20"/>
                <w:szCs w:val="20"/>
                <w:lang w:val="en-US"/>
              </w:rPr>
              <w:t>xxx</w:t>
            </w:r>
          </w:p>
        </w:tc>
      </w:tr>
      <w:bookmarkEnd w:id="21"/>
      <w:tr w:rsidR="00416E99" w:rsidRPr="00416E99" w14:paraId="256A7D10" w14:textId="77777777" w:rsidTr="004C75E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090B76" w14:textId="77777777" w:rsidR="00694543" w:rsidRPr="00416E99" w:rsidRDefault="00694543" w:rsidP="00694543">
            <w:pPr>
              <w:spacing w:line="240" w:lineRule="auto"/>
              <w:rPr>
                <w:rFonts w:eastAsia="Times New Roman" w:cs="Arial"/>
                <w:color w:val="000000" w:themeColor="text1"/>
                <w:spacing w:val="0"/>
                <w:sz w:val="18"/>
                <w:szCs w:val="18"/>
                <w:lang w:eastAsia="en-US"/>
              </w:rPr>
            </w:pPr>
            <w:r w:rsidRPr="00416E99">
              <w:rPr>
                <w:rFonts w:eastAsia="Times New Roman" w:cs="Arial"/>
                <w:color w:val="000000" w:themeColor="text1"/>
                <w:spacing w:val="0"/>
                <w:sz w:val="18"/>
                <w:szCs w:val="18"/>
                <w:lang w:eastAsia="en-US"/>
              </w:rPr>
              <w:t>Начисления свързани с т. 3, по действащото законодателство</w:t>
            </w:r>
          </w:p>
        </w:tc>
        <w:tc>
          <w:tcPr>
            <w:tcW w:w="0" w:type="auto"/>
            <w:tcBorders>
              <w:top w:val="nil"/>
              <w:left w:val="nil"/>
              <w:bottom w:val="single" w:sz="4" w:space="0" w:color="auto"/>
              <w:right w:val="single" w:sz="4" w:space="0" w:color="auto"/>
            </w:tcBorders>
            <w:shd w:val="clear" w:color="auto" w:fill="auto"/>
            <w:noWrap/>
            <w:vAlign w:val="center"/>
            <w:hideMark/>
          </w:tcPr>
          <w:p w14:paraId="2E096757" w14:textId="77777777" w:rsidR="00694543" w:rsidRPr="00416E99" w:rsidRDefault="00694543" w:rsidP="00694543">
            <w:pPr>
              <w:spacing w:line="240" w:lineRule="auto"/>
              <w:jc w:val="center"/>
              <w:rPr>
                <w:rFonts w:eastAsia="Times New Roman" w:cs="Arial"/>
                <w:color w:val="000000" w:themeColor="text1"/>
                <w:spacing w:val="0"/>
                <w:sz w:val="20"/>
                <w:szCs w:val="20"/>
                <w:lang w:eastAsia="en-US"/>
              </w:rPr>
            </w:pPr>
            <w:r w:rsidRPr="00416E99">
              <w:rPr>
                <w:rFonts w:eastAsia="Times New Roman" w:cs="Arial"/>
                <w:color w:val="000000" w:themeColor="text1"/>
                <w:spacing w:val="0"/>
                <w:sz w:val="20"/>
                <w:szCs w:val="20"/>
                <w:lang w:eastAsia="en-US"/>
              </w:rPr>
              <w:t xml:space="preserve">хил. </w:t>
            </w:r>
            <w:proofErr w:type="spellStart"/>
            <w:r w:rsidRPr="00416E99">
              <w:rPr>
                <w:rFonts w:eastAsia="Times New Roman" w:cs="Arial"/>
                <w:color w:val="000000" w:themeColor="text1"/>
                <w:spacing w:val="0"/>
                <w:sz w:val="20"/>
                <w:szCs w:val="20"/>
                <w:lang w:eastAsia="en-US"/>
              </w:rPr>
              <w:t>лв</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39CE344C" w14:textId="18BB4B3E" w:rsidR="00694543" w:rsidRPr="000E311E" w:rsidRDefault="000E311E" w:rsidP="00694543">
            <w:pPr>
              <w:spacing w:line="240" w:lineRule="auto"/>
              <w:jc w:val="center"/>
              <w:rPr>
                <w:rFonts w:eastAsia="Times New Roman" w:cs="Arial"/>
                <w:color w:val="000000" w:themeColor="text1"/>
                <w:spacing w:val="0"/>
                <w:sz w:val="20"/>
                <w:szCs w:val="20"/>
                <w:lang w:val="en-US" w:eastAsia="en-US"/>
              </w:rPr>
            </w:pPr>
            <w:r>
              <w:rPr>
                <w:rFonts w:cs="Arial"/>
                <w:color w:val="000000" w:themeColor="text1"/>
                <w:sz w:val="20"/>
                <w:szCs w:val="20"/>
                <w:lang w:val="en-US"/>
              </w:rPr>
              <w:t>xxx</w:t>
            </w:r>
          </w:p>
        </w:tc>
        <w:tc>
          <w:tcPr>
            <w:tcW w:w="0" w:type="auto"/>
            <w:tcBorders>
              <w:top w:val="nil"/>
              <w:left w:val="nil"/>
              <w:bottom w:val="single" w:sz="4" w:space="0" w:color="auto"/>
              <w:right w:val="single" w:sz="4" w:space="0" w:color="auto"/>
            </w:tcBorders>
            <w:shd w:val="clear" w:color="auto" w:fill="auto"/>
            <w:noWrap/>
            <w:vAlign w:val="bottom"/>
            <w:hideMark/>
          </w:tcPr>
          <w:p w14:paraId="36B90A39" w14:textId="6C19FE68" w:rsidR="00694543" w:rsidRPr="000E311E" w:rsidRDefault="000E311E" w:rsidP="00694543">
            <w:pPr>
              <w:spacing w:line="240" w:lineRule="auto"/>
              <w:jc w:val="center"/>
              <w:rPr>
                <w:rFonts w:eastAsia="Times New Roman" w:cs="Arial"/>
                <w:color w:val="000000" w:themeColor="text1"/>
                <w:spacing w:val="0"/>
                <w:sz w:val="20"/>
                <w:szCs w:val="20"/>
                <w:lang w:val="en-US" w:eastAsia="en-US"/>
              </w:rPr>
            </w:pPr>
            <w:r>
              <w:rPr>
                <w:rFonts w:cs="Arial"/>
                <w:color w:val="000000" w:themeColor="text1"/>
                <w:sz w:val="20"/>
                <w:szCs w:val="20"/>
                <w:lang w:val="en-US"/>
              </w:rPr>
              <w:t>x xxx</w:t>
            </w:r>
          </w:p>
        </w:tc>
        <w:tc>
          <w:tcPr>
            <w:tcW w:w="0" w:type="auto"/>
            <w:tcBorders>
              <w:top w:val="nil"/>
              <w:left w:val="nil"/>
              <w:bottom w:val="single" w:sz="4" w:space="0" w:color="auto"/>
              <w:right w:val="single" w:sz="4" w:space="0" w:color="auto"/>
            </w:tcBorders>
            <w:shd w:val="clear" w:color="auto" w:fill="auto"/>
            <w:noWrap/>
            <w:vAlign w:val="bottom"/>
            <w:hideMark/>
          </w:tcPr>
          <w:p w14:paraId="73C9F28A" w14:textId="1C4972C7" w:rsidR="00694543" w:rsidRPr="000E311E" w:rsidRDefault="000E311E" w:rsidP="00694543">
            <w:pPr>
              <w:spacing w:line="240" w:lineRule="auto"/>
              <w:jc w:val="center"/>
              <w:rPr>
                <w:rFonts w:eastAsia="Times New Roman" w:cs="Arial"/>
                <w:color w:val="000000" w:themeColor="text1"/>
                <w:spacing w:val="0"/>
                <w:sz w:val="20"/>
                <w:szCs w:val="20"/>
                <w:lang w:val="en-US" w:eastAsia="en-US"/>
              </w:rPr>
            </w:pPr>
            <w:r>
              <w:rPr>
                <w:rFonts w:cs="Arial"/>
                <w:color w:val="000000" w:themeColor="text1"/>
                <w:sz w:val="20"/>
                <w:szCs w:val="20"/>
                <w:lang w:val="en-US"/>
              </w:rPr>
              <w:t>xxx</w:t>
            </w:r>
          </w:p>
        </w:tc>
      </w:tr>
    </w:tbl>
    <w:p w14:paraId="5C2818B6" w14:textId="7B727EFF" w:rsidR="000B58AB" w:rsidRDefault="000B58AB" w:rsidP="000B58AB"/>
    <w:p w14:paraId="529A2721" w14:textId="77777777" w:rsidR="00577482" w:rsidRPr="00EF4AF3" w:rsidRDefault="00577482" w:rsidP="00EF4AF3">
      <w:pPr>
        <w:ind w:left="709"/>
        <w:rPr>
          <w:color w:val="000000" w:themeColor="text1"/>
        </w:rPr>
      </w:pPr>
      <w:r w:rsidRPr="00EF4AF3">
        <w:rPr>
          <w:color w:val="000000" w:themeColor="text1"/>
        </w:rPr>
        <w:t>Бихме очертали три основни групи фактори, влияещи върху увеличението на разходите за труд в Дружеството:</w:t>
      </w:r>
    </w:p>
    <w:p w14:paraId="7EDBF999" w14:textId="77777777" w:rsidR="00577482" w:rsidRDefault="00577482" w:rsidP="00577482"/>
    <w:p w14:paraId="58034FE7" w14:textId="77777777" w:rsidR="00577482" w:rsidRDefault="00577482" w:rsidP="00577482"/>
    <w:p w14:paraId="121D2B5C" w14:textId="606DAA7A" w:rsidR="00577482" w:rsidRPr="00577482" w:rsidRDefault="00577482" w:rsidP="00577482">
      <w:pPr>
        <w:pStyle w:val="ListParagraph"/>
        <w:numPr>
          <w:ilvl w:val="0"/>
          <w:numId w:val="41"/>
        </w:numPr>
        <w:rPr>
          <w:rFonts w:ascii="Frutiger Next for EVN Light" w:hAnsi="Frutiger Next for EVN Light"/>
          <w:b/>
          <w:bCs/>
          <w:sz w:val="19"/>
          <w:szCs w:val="19"/>
        </w:rPr>
      </w:pPr>
      <w:proofErr w:type="spellStart"/>
      <w:r w:rsidRPr="00577482">
        <w:rPr>
          <w:rFonts w:ascii="Frutiger Next for EVN Light" w:hAnsi="Frutiger Next for EVN Light"/>
          <w:b/>
          <w:bCs/>
          <w:sz w:val="19"/>
          <w:szCs w:val="19"/>
        </w:rPr>
        <w:t>Пазар</w:t>
      </w:r>
      <w:proofErr w:type="spellEnd"/>
      <w:r w:rsidRPr="00577482">
        <w:rPr>
          <w:rFonts w:ascii="Frutiger Next for EVN Light" w:hAnsi="Frutiger Next for EVN Light"/>
          <w:b/>
          <w:bCs/>
          <w:sz w:val="19"/>
          <w:szCs w:val="19"/>
        </w:rPr>
        <w:t xml:space="preserve"> </w:t>
      </w:r>
      <w:proofErr w:type="spellStart"/>
      <w:r w:rsidRPr="00577482">
        <w:rPr>
          <w:rFonts w:ascii="Frutiger Next for EVN Light" w:hAnsi="Frutiger Next for EVN Light"/>
          <w:b/>
          <w:bCs/>
          <w:sz w:val="19"/>
          <w:szCs w:val="19"/>
        </w:rPr>
        <w:t>на</w:t>
      </w:r>
      <w:proofErr w:type="spellEnd"/>
      <w:r w:rsidRPr="00577482">
        <w:rPr>
          <w:rFonts w:ascii="Frutiger Next for EVN Light" w:hAnsi="Frutiger Next for EVN Light"/>
          <w:b/>
          <w:bCs/>
          <w:sz w:val="19"/>
          <w:szCs w:val="19"/>
        </w:rPr>
        <w:t xml:space="preserve"> </w:t>
      </w:r>
      <w:proofErr w:type="spellStart"/>
      <w:r w:rsidRPr="00577482">
        <w:rPr>
          <w:rFonts w:ascii="Frutiger Next for EVN Light" w:hAnsi="Frutiger Next for EVN Light"/>
          <w:b/>
          <w:bCs/>
          <w:sz w:val="19"/>
          <w:szCs w:val="19"/>
        </w:rPr>
        <w:t>труда</w:t>
      </w:r>
      <w:proofErr w:type="spellEnd"/>
    </w:p>
    <w:p w14:paraId="2203F4B5" w14:textId="77777777" w:rsidR="00577482" w:rsidRDefault="00577482" w:rsidP="00577482"/>
    <w:p w14:paraId="0CCF86D1" w14:textId="77777777" w:rsidR="00577482" w:rsidRPr="00EF4AF3" w:rsidRDefault="00577482" w:rsidP="00EF4AF3">
      <w:pPr>
        <w:ind w:left="709"/>
        <w:rPr>
          <w:color w:val="000000" w:themeColor="text1"/>
        </w:rPr>
      </w:pPr>
      <w:r w:rsidRPr="00EF4AF3">
        <w:rPr>
          <w:color w:val="000000" w:themeColor="text1"/>
        </w:rPr>
        <w:t>Общ преглед на пазара на труда за периода 2020 г. – 2023 г.</w:t>
      </w:r>
    </w:p>
    <w:p w14:paraId="1073C935" w14:textId="5CEA4C08" w:rsidR="00577482" w:rsidRPr="00EF4AF3" w:rsidRDefault="00577482" w:rsidP="00EF4AF3">
      <w:pPr>
        <w:ind w:left="709"/>
        <w:rPr>
          <w:color w:val="000000" w:themeColor="text1"/>
        </w:rPr>
      </w:pPr>
      <w:r w:rsidRPr="00EF4AF3">
        <w:rPr>
          <w:color w:val="000000" w:themeColor="text1"/>
        </w:rPr>
        <w:t>С възстановяването на икономиката след пандемията от COVID-19 предприятията започнаха да нае-мат отново персонал, за да отговорят на повишеното търсене на техните продукти или услуги. Това увеличение на търсенето на работна ръка доведе до конкуренция за квалифицирани кандидати, което от своя страна повишава цената на труда.</w:t>
      </w:r>
    </w:p>
    <w:p w14:paraId="6302D1ED" w14:textId="49E7CE83" w:rsidR="00577482" w:rsidRPr="00EF4AF3" w:rsidRDefault="00577482" w:rsidP="00EF4AF3">
      <w:pPr>
        <w:ind w:left="709"/>
        <w:rPr>
          <w:color w:val="000000" w:themeColor="text1"/>
        </w:rPr>
      </w:pPr>
      <w:r w:rsidRPr="00EF4AF3">
        <w:rPr>
          <w:color w:val="000000" w:themeColor="text1"/>
        </w:rPr>
        <w:t xml:space="preserve">Демографските промени, автоматизацията и дигитализацията доведоха до недостиг на работна ръка със съответната квалификация. В същото време уменията, необходими за опре-делени работни места, не се преподават в образователните институции, създавайки несъответствие между предлагането и </w:t>
      </w:r>
      <w:r w:rsidRPr="00EF4AF3">
        <w:rPr>
          <w:color w:val="000000" w:themeColor="text1"/>
        </w:rPr>
        <w:lastRenderedPageBreak/>
        <w:t>търсенето на умения. Този недостиг на работна ръка пови-шава цената на труда, тъй като работодателите трябва да се конкурират за ограничен брой квалифицирани кандидати.</w:t>
      </w:r>
    </w:p>
    <w:p w14:paraId="6D2D072A" w14:textId="77777777" w:rsidR="00577482" w:rsidRPr="00EF4AF3" w:rsidRDefault="00577482" w:rsidP="00EF4AF3">
      <w:pPr>
        <w:ind w:left="709"/>
        <w:rPr>
          <w:color w:val="000000" w:themeColor="text1"/>
        </w:rPr>
      </w:pPr>
      <w:r w:rsidRPr="00EF4AF3">
        <w:rPr>
          <w:color w:val="000000" w:themeColor="text1"/>
        </w:rPr>
        <w:t>Минималната заплата, заплатите в публичния сектор и социалните осигуровки се повишиха през последните години, което увеличи общите разходи за труд за работодателите.</w:t>
      </w:r>
    </w:p>
    <w:p w14:paraId="7378BD48" w14:textId="34AA0C74" w:rsidR="00577482" w:rsidRPr="00EF4AF3" w:rsidRDefault="00577482" w:rsidP="00EF4AF3">
      <w:pPr>
        <w:ind w:left="709"/>
        <w:rPr>
          <w:color w:val="000000" w:themeColor="text1"/>
        </w:rPr>
      </w:pPr>
      <w:r w:rsidRPr="00EF4AF3">
        <w:rPr>
          <w:color w:val="000000" w:themeColor="text1"/>
        </w:rPr>
        <w:t>Някои промени в трудовото законодателство, като например увеличаването на минималната работна заплата или разширяването на правата на работниците, също могат да допринесат за поскъпяване на труда. Тези промени могат да направят по-скъпо за работодателите да наемат служители, което води до натиск за увеличаване на заплатите.</w:t>
      </w:r>
    </w:p>
    <w:p w14:paraId="49ABF234" w14:textId="239AD8EB" w:rsidR="00577482" w:rsidRPr="00EF4AF3" w:rsidRDefault="00577482" w:rsidP="00EF4AF3">
      <w:pPr>
        <w:ind w:left="709"/>
        <w:rPr>
          <w:color w:val="000000" w:themeColor="text1"/>
        </w:rPr>
      </w:pPr>
      <w:r w:rsidRPr="00EF4AF3">
        <w:rPr>
          <w:color w:val="000000" w:themeColor="text1"/>
        </w:rPr>
        <w:t>Поскъпването на труда се повлиява и от глобални икономически фактори, като например нарастващите цени на стоките и услугите, които влияят върху рентабилността на компаниите и могат да доведат до необходимост от увеличаване на цените, включително заплатите.</w:t>
      </w:r>
    </w:p>
    <w:p w14:paraId="6477A19C" w14:textId="6C0064DE" w:rsidR="00577482" w:rsidRPr="00EF4AF3" w:rsidRDefault="00577482" w:rsidP="00EF4AF3">
      <w:pPr>
        <w:ind w:left="709"/>
        <w:rPr>
          <w:color w:val="000000" w:themeColor="text1"/>
        </w:rPr>
      </w:pPr>
    </w:p>
    <w:p w14:paraId="5C7FCD04" w14:textId="77777777" w:rsidR="00577482" w:rsidRPr="00EF4AF3" w:rsidRDefault="00577482" w:rsidP="00EF4AF3">
      <w:pPr>
        <w:ind w:left="709"/>
        <w:rPr>
          <w:color w:val="000000" w:themeColor="text1"/>
        </w:rPr>
      </w:pPr>
      <w:r w:rsidRPr="00EF4AF3">
        <w:rPr>
          <w:color w:val="000000" w:themeColor="text1"/>
        </w:rPr>
        <w:t>Следните данни илюстрират някои аспекти на ситуацията на пазара на труда в България в периода 2020-2023 г.:</w:t>
      </w:r>
    </w:p>
    <w:p w14:paraId="2DE8E926" w14:textId="2E39CED4" w:rsidR="00577482" w:rsidRPr="00EF4AF3" w:rsidRDefault="00577482" w:rsidP="00EF4AF3">
      <w:pPr>
        <w:ind w:left="709"/>
        <w:rPr>
          <w:color w:val="000000" w:themeColor="text1"/>
        </w:rPr>
      </w:pPr>
    </w:p>
    <w:p w14:paraId="5B451059" w14:textId="1CA412E7" w:rsidR="00577482" w:rsidRDefault="00577482" w:rsidP="00577482">
      <w:r w:rsidRPr="002E480D">
        <w:rPr>
          <w:noProof/>
        </w:rPr>
        <w:drawing>
          <wp:anchor distT="0" distB="0" distL="114300" distR="114300" simplePos="0" relativeHeight="251704320" behindDoc="0" locked="0" layoutInCell="1" allowOverlap="1" wp14:anchorId="11CEEDE5" wp14:editId="00FF6941">
            <wp:simplePos x="0" y="0"/>
            <wp:positionH relativeFrom="margin">
              <wp:align>left</wp:align>
            </wp:positionH>
            <wp:positionV relativeFrom="paragraph">
              <wp:posOffset>102870</wp:posOffset>
            </wp:positionV>
            <wp:extent cx="5400675" cy="1322705"/>
            <wp:effectExtent l="133350" t="95250" r="142875" b="8699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cstate="print">
                      <a:extLst>
                        <a:ext uri="{28A0092B-C50C-407E-A947-70E740481C1C}">
                          <a14:useLocalDpi xmlns:a14="http://schemas.microsoft.com/office/drawing/2010/main" val="0"/>
                        </a:ext>
                      </a:extLst>
                    </a:blip>
                    <a:srcRect b="61782"/>
                    <a:stretch/>
                  </pic:blipFill>
                  <pic:spPr bwMode="auto">
                    <a:xfrm>
                      <a:off x="0" y="0"/>
                      <a:ext cx="5400675" cy="1322705"/>
                    </a:xfrm>
                    <a:prstGeom prst="rect">
                      <a:avLst/>
                    </a:prstGeom>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anchor>
        </w:drawing>
      </w:r>
      <w:r>
        <w:t xml:space="preserve"> </w:t>
      </w:r>
    </w:p>
    <w:p w14:paraId="0391135B" w14:textId="45702416" w:rsidR="00577482" w:rsidRDefault="00577482" w:rsidP="00577482"/>
    <w:p w14:paraId="0D1872CD" w14:textId="77777777" w:rsidR="00577482" w:rsidRDefault="00577482" w:rsidP="00577482"/>
    <w:p w14:paraId="50DDDE4C" w14:textId="77777777" w:rsidR="00577482" w:rsidRDefault="00577482" w:rsidP="00577482"/>
    <w:p w14:paraId="7C216145" w14:textId="77777777" w:rsidR="00577482" w:rsidRDefault="00577482" w:rsidP="00577482"/>
    <w:p w14:paraId="61FABC12" w14:textId="77777777" w:rsidR="00577482" w:rsidRDefault="00577482" w:rsidP="00577482"/>
    <w:p w14:paraId="120F7AEA" w14:textId="77777777" w:rsidR="00577482" w:rsidRDefault="00577482" w:rsidP="00577482"/>
    <w:p w14:paraId="3687C52A" w14:textId="77777777" w:rsidR="00577482" w:rsidRDefault="00577482" w:rsidP="00577482"/>
    <w:p w14:paraId="4F4BBD3D" w14:textId="02F5D34E" w:rsidR="00577482" w:rsidRDefault="00577482" w:rsidP="00577482"/>
    <w:p w14:paraId="65DB3B60" w14:textId="7CADDD07" w:rsidR="00577482" w:rsidRDefault="00577482" w:rsidP="00577482">
      <w:r w:rsidRPr="002E480D">
        <w:rPr>
          <w:noProof/>
        </w:rPr>
        <w:drawing>
          <wp:anchor distT="0" distB="0" distL="114300" distR="114300" simplePos="0" relativeHeight="251705344" behindDoc="0" locked="0" layoutInCell="1" allowOverlap="1" wp14:anchorId="2AA12F28" wp14:editId="08E2D483">
            <wp:simplePos x="0" y="0"/>
            <wp:positionH relativeFrom="margin">
              <wp:align>left</wp:align>
            </wp:positionH>
            <wp:positionV relativeFrom="paragraph">
              <wp:posOffset>131445</wp:posOffset>
            </wp:positionV>
            <wp:extent cx="5400675" cy="1314563"/>
            <wp:effectExtent l="133350" t="95250" r="123825" b="9525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400675" cy="1314563"/>
                    </a:xfrm>
                    <a:prstGeom prst="rect">
                      <a:avLst/>
                    </a:prstGeom>
                    <a:effectLst>
                      <a:outerShdw blurRad="63500" sx="102000" sy="102000" algn="ctr" rotWithShape="0">
                        <a:prstClr val="black">
                          <a:alpha val="40000"/>
                        </a:prstClr>
                      </a:outerShdw>
                    </a:effectLst>
                  </pic:spPr>
                </pic:pic>
              </a:graphicData>
            </a:graphic>
          </wp:anchor>
        </w:drawing>
      </w:r>
    </w:p>
    <w:p w14:paraId="5CE6A0A0" w14:textId="77777777" w:rsidR="00577482" w:rsidRDefault="00577482" w:rsidP="00577482"/>
    <w:p w14:paraId="08342D13" w14:textId="77777777" w:rsidR="00577482" w:rsidRDefault="00577482" w:rsidP="00577482"/>
    <w:p w14:paraId="45D6A1A3" w14:textId="77777777" w:rsidR="00577482" w:rsidRDefault="00577482" w:rsidP="00577482"/>
    <w:p w14:paraId="69B8DC6D" w14:textId="77777777" w:rsidR="00577482" w:rsidRDefault="00577482" w:rsidP="00577482"/>
    <w:p w14:paraId="7052A385" w14:textId="77777777" w:rsidR="00577482" w:rsidRDefault="00577482" w:rsidP="00577482"/>
    <w:p w14:paraId="6FA0488C" w14:textId="770E5A5F" w:rsidR="00577482" w:rsidRDefault="00577482" w:rsidP="00577482">
      <w:r>
        <w:t xml:space="preserve"> </w:t>
      </w:r>
    </w:p>
    <w:p w14:paraId="7B3B049A" w14:textId="77777777" w:rsidR="00577482" w:rsidRDefault="00577482" w:rsidP="00577482"/>
    <w:p w14:paraId="23475658" w14:textId="77777777" w:rsidR="00577482" w:rsidRDefault="00577482" w:rsidP="00577482"/>
    <w:p w14:paraId="28957B1E" w14:textId="77777777" w:rsidR="00650FF7" w:rsidRPr="002E480D" w:rsidRDefault="00650FF7" w:rsidP="00650FF7">
      <w:pPr>
        <w:ind w:left="851"/>
        <w:rPr>
          <w:rStyle w:val="Hyperlink"/>
          <w:sz w:val="16"/>
          <w:szCs w:val="16"/>
        </w:rPr>
      </w:pPr>
      <w:r w:rsidRPr="002E480D">
        <w:rPr>
          <w:sz w:val="16"/>
          <w:szCs w:val="16"/>
        </w:rPr>
        <w:t>*Източник: НСИ 202</w:t>
      </w:r>
      <w:r w:rsidRPr="002E480D">
        <w:rPr>
          <w:sz w:val="16"/>
          <w:szCs w:val="16"/>
          <w:lang w:val="ru-RU"/>
        </w:rPr>
        <w:t>4</w:t>
      </w:r>
      <w:r w:rsidRPr="002E480D">
        <w:rPr>
          <w:sz w:val="16"/>
          <w:szCs w:val="16"/>
        </w:rPr>
        <w:t xml:space="preserve">, </w:t>
      </w:r>
      <w:hyperlink r:id="rId26" w:history="1">
        <w:r w:rsidRPr="002E480D">
          <w:rPr>
            <w:rStyle w:val="Hyperlink"/>
            <w:sz w:val="16"/>
            <w:szCs w:val="16"/>
          </w:rPr>
          <w:t>Национално ниво (икономически дейности; форма на собственост) | Национален статистически институт (nsi.bg)</w:t>
        </w:r>
      </w:hyperlink>
    </w:p>
    <w:p w14:paraId="30B8D072" w14:textId="77777777" w:rsidR="00577482" w:rsidRDefault="00577482" w:rsidP="00577482"/>
    <w:p w14:paraId="3D216507" w14:textId="4F563A24" w:rsidR="00577482" w:rsidRPr="00EF4AF3" w:rsidRDefault="00577482" w:rsidP="00EF4AF3">
      <w:pPr>
        <w:ind w:left="709"/>
        <w:rPr>
          <w:color w:val="000000" w:themeColor="text1"/>
        </w:rPr>
      </w:pPr>
      <w:r w:rsidRPr="00EF4AF3">
        <w:rPr>
          <w:color w:val="000000" w:themeColor="text1"/>
        </w:rPr>
        <w:t>Само за 2023 г. спрямо 2022 г. наблюдаваме 14% увеличение на средната заплата за България, а за обществения сектор – 15%. В сектор „Енергетика“ увеличението е 13%, а за обществения сектор в енергетиката данните сочат 15% увеличение.</w:t>
      </w:r>
    </w:p>
    <w:p w14:paraId="452D9F8D" w14:textId="3A015869" w:rsidR="00577482" w:rsidRPr="00EF4AF3" w:rsidRDefault="00577482" w:rsidP="00EF4AF3">
      <w:pPr>
        <w:ind w:left="709"/>
        <w:rPr>
          <w:color w:val="000000" w:themeColor="text1"/>
        </w:rPr>
      </w:pPr>
      <w:r w:rsidRPr="00EF4AF3">
        <w:rPr>
          <w:color w:val="000000" w:themeColor="text1"/>
        </w:rPr>
        <w:t>Тези проценти надхвърлят съществено инфлацията и създават конкурентен натиск за увеличение на възнагражденията в дружеството.</w:t>
      </w:r>
    </w:p>
    <w:p w14:paraId="024EAE2E" w14:textId="77777777" w:rsidR="00577482" w:rsidRPr="00EF4AF3" w:rsidRDefault="00577482" w:rsidP="00EF4AF3">
      <w:pPr>
        <w:ind w:left="709"/>
        <w:rPr>
          <w:color w:val="000000" w:themeColor="text1"/>
        </w:rPr>
      </w:pPr>
    </w:p>
    <w:p w14:paraId="1F7CD8E7" w14:textId="5E3EE663" w:rsidR="00577482" w:rsidRPr="00EF4AF3" w:rsidRDefault="00577482" w:rsidP="00EF4AF3">
      <w:pPr>
        <w:ind w:left="709"/>
        <w:rPr>
          <w:color w:val="000000" w:themeColor="text1"/>
        </w:rPr>
      </w:pPr>
      <w:r w:rsidRPr="00EF4AF3">
        <w:rPr>
          <w:color w:val="000000" w:themeColor="text1"/>
        </w:rPr>
        <w:t>За периода 2020-2023 минималната работна заплата в България се е увеличила с 39,29%. Средната годишна работна заплата в България за 2023 г.(предварителни данни) спрямо 2020 г. е достигнала увеличение от 45%. Същият ръст на увеличение се наблюдава и за обществения сектор. Средното</w:t>
      </w:r>
      <w:r w:rsidR="0052250F" w:rsidRPr="00EF4AF3">
        <w:rPr>
          <w:color w:val="000000" w:themeColor="text1"/>
        </w:rPr>
        <w:t xml:space="preserve"> </w:t>
      </w:r>
      <w:r w:rsidRPr="00EF4AF3">
        <w:rPr>
          <w:color w:val="000000" w:themeColor="text1"/>
        </w:rPr>
        <w:t>увеличение за периода и за двата показателя е 13%.</w:t>
      </w:r>
    </w:p>
    <w:p w14:paraId="5C773E15" w14:textId="2E97932D" w:rsidR="00577482" w:rsidRPr="00EF4AF3" w:rsidRDefault="00577482" w:rsidP="00EF4AF3">
      <w:pPr>
        <w:ind w:left="709"/>
        <w:rPr>
          <w:color w:val="000000" w:themeColor="text1"/>
        </w:rPr>
      </w:pPr>
      <w:r w:rsidRPr="00EF4AF3">
        <w:rPr>
          <w:color w:val="000000" w:themeColor="text1"/>
        </w:rPr>
        <w:t>Средната годишна работна заплата за сектор „Енергетика“ за 2023 г.(предварителни данни) спрямо 2020 г е нараснала с 44%, а за обществения сектор в енергетиката – с 50%. Средно-то годишно увеличение за периода за сектор „Енергетика“ е 13%, а за обществения сектор в енергетиката – 14%.</w:t>
      </w:r>
    </w:p>
    <w:p w14:paraId="5DBAD0C1" w14:textId="588B5B7A" w:rsidR="00650FF7" w:rsidRDefault="00650FF7" w:rsidP="00577482"/>
    <w:p w14:paraId="624067A3" w14:textId="75413D5F" w:rsidR="00650FF7" w:rsidRDefault="00650FF7" w:rsidP="00577482">
      <w:r>
        <w:rPr>
          <w:noProof/>
        </w:rPr>
        <w:lastRenderedPageBreak/>
        <w:drawing>
          <wp:anchor distT="0" distB="0" distL="114300" distR="114300" simplePos="0" relativeHeight="251706368" behindDoc="0" locked="0" layoutInCell="1" allowOverlap="1" wp14:anchorId="4FDFB9ED" wp14:editId="1CBD55D3">
            <wp:simplePos x="0" y="0"/>
            <wp:positionH relativeFrom="column">
              <wp:posOffset>127635</wp:posOffset>
            </wp:positionH>
            <wp:positionV relativeFrom="paragraph">
              <wp:posOffset>6350</wp:posOffset>
            </wp:positionV>
            <wp:extent cx="5297805" cy="3230880"/>
            <wp:effectExtent l="0" t="0" r="0" b="762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97805" cy="3230880"/>
                    </a:xfrm>
                    <a:prstGeom prst="rect">
                      <a:avLst/>
                    </a:prstGeom>
                    <a:noFill/>
                  </pic:spPr>
                </pic:pic>
              </a:graphicData>
            </a:graphic>
          </wp:anchor>
        </w:drawing>
      </w:r>
    </w:p>
    <w:p w14:paraId="09BF94C3" w14:textId="463C1588" w:rsidR="00650FF7" w:rsidRDefault="00650FF7" w:rsidP="00577482"/>
    <w:p w14:paraId="35F9A5E0" w14:textId="5AACB4A8" w:rsidR="00650FF7" w:rsidRDefault="00650FF7" w:rsidP="00577482"/>
    <w:p w14:paraId="278B13F8" w14:textId="64F6A308" w:rsidR="00650FF7" w:rsidRDefault="00650FF7" w:rsidP="00577482"/>
    <w:p w14:paraId="4A551A8E" w14:textId="6529214F" w:rsidR="00650FF7" w:rsidRDefault="00650FF7" w:rsidP="00577482"/>
    <w:p w14:paraId="54D85F16" w14:textId="57282A05" w:rsidR="00650FF7" w:rsidRDefault="00650FF7" w:rsidP="00577482"/>
    <w:p w14:paraId="04F8E0CF" w14:textId="77777777" w:rsidR="00650FF7" w:rsidRDefault="00650FF7" w:rsidP="00577482"/>
    <w:p w14:paraId="3B517FD5" w14:textId="782297D1" w:rsidR="00650FF7" w:rsidRDefault="00650FF7" w:rsidP="00577482"/>
    <w:p w14:paraId="1CBE5062" w14:textId="4765BF74" w:rsidR="00650FF7" w:rsidRDefault="00650FF7" w:rsidP="00577482"/>
    <w:p w14:paraId="489607E7" w14:textId="77777777" w:rsidR="00650FF7" w:rsidRDefault="00650FF7" w:rsidP="00577482"/>
    <w:p w14:paraId="7F1FF421" w14:textId="613657D0" w:rsidR="00650FF7" w:rsidRDefault="00650FF7" w:rsidP="00577482"/>
    <w:p w14:paraId="0F2F96FF" w14:textId="6958658E" w:rsidR="00650FF7" w:rsidRDefault="00650FF7" w:rsidP="00577482"/>
    <w:p w14:paraId="05D0F668" w14:textId="77777777" w:rsidR="00650FF7" w:rsidRDefault="00650FF7" w:rsidP="00577482"/>
    <w:p w14:paraId="074447C4" w14:textId="4D0EF9B1" w:rsidR="00650FF7" w:rsidRDefault="00650FF7" w:rsidP="00577482"/>
    <w:p w14:paraId="4D89D4BD" w14:textId="0D954E50" w:rsidR="00650FF7" w:rsidRDefault="00650FF7" w:rsidP="00577482"/>
    <w:p w14:paraId="6283E540" w14:textId="66C24620" w:rsidR="00650FF7" w:rsidRDefault="00650FF7" w:rsidP="00577482"/>
    <w:p w14:paraId="5E7A1D0C" w14:textId="77777777" w:rsidR="00650FF7" w:rsidRDefault="00650FF7" w:rsidP="00577482"/>
    <w:p w14:paraId="17C421A1" w14:textId="237ADAFA" w:rsidR="00650FF7" w:rsidRDefault="00650FF7" w:rsidP="00577482"/>
    <w:p w14:paraId="03EBDDA6" w14:textId="3719E848" w:rsidR="00650FF7" w:rsidRDefault="00650FF7" w:rsidP="00577482"/>
    <w:p w14:paraId="225C1498" w14:textId="3FC2F895" w:rsidR="00650FF7" w:rsidRDefault="00650FF7" w:rsidP="00577482"/>
    <w:p w14:paraId="6595A550" w14:textId="29E10F85" w:rsidR="00577482" w:rsidRDefault="00577482" w:rsidP="00EF4AF3">
      <w:pPr>
        <w:ind w:left="709"/>
        <w:rPr>
          <w:color w:val="000000" w:themeColor="text1"/>
        </w:rPr>
      </w:pPr>
      <w:r w:rsidRPr="00EF4AF3">
        <w:rPr>
          <w:color w:val="000000" w:themeColor="text1"/>
        </w:rPr>
        <w:t xml:space="preserve">На този фон усилията на ЕВН са били насочени към запазване на позициите на работодател с конкурентни възнаграждения и балансирани поетапни увеличения, близки до тези за сектора, но далеч под увеличенията за страната. </w:t>
      </w:r>
      <w:r w:rsidR="001B4717" w:rsidRPr="00EF4AF3">
        <w:rPr>
          <w:color w:val="000000" w:themeColor="text1"/>
        </w:rPr>
        <w:t>От данните по-долу е видно, че</w:t>
      </w:r>
      <w:r w:rsidRPr="00EF4AF3">
        <w:rPr>
          <w:color w:val="000000" w:themeColor="text1"/>
        </w:rPr>
        <w:t xml:space="preserve"> последните 10 години, от 2013 до 2023 година,</w:t>
      </w:r>
      <w:r w:rsidR="001B4717" w:rsidRPr="00EF4AF3">
        <w:rPr>
          <w:color w:val="000000" w:themeColor="text1"/>
        </w:rPr>
        <w:t xml:space="preserve"> въпреки първоначалното конкурентн</w:t>
      </w:r>
      <w:r w:rsidR="00582DF6" w:rsidRPr="00EF4AF3">
        <w:rPr>
          <w:color w:val="000000" w:themeColor="text1"/>
        </w:rPr>
        <w:t>ите възнаграждения</w:t>
      </w:r>
      <w:r w:rsidR="001B4717" w:rsidRPr="00EF4AF3">
        <w:rPr>
          <w:color w:val="000000" w:themeColor="text1"/>
        </w:rPr>
        <w:t>,</w:t>
      </w:r>
      <w:r w:rsidRPr="00EF4AF3">
        <w:rPr>
          <w:color w:val="000000" w:themeColor="text1"/>
        </w:rPr>
        <w:t xml:space="preserve"> дружеството е в</w:t>
      </w:r>
      <w:r w:rsidR="00227DB3" w:rsidRPr="00EF4AF3">
        <w:rPr>
          <w:color w:val="000000" w:themeColor="text1"/>
        </w:rPr>
        <w:t xml:space="preserve">ъв все </w:t>
      </w:r>
      <w:r w:rsidR="00227DB3" w:rsidRPr="008C4AFE">
        <w:rPr>
          <w:color w:val="000000" w:themeColor="text1"/>
        </w:rPr>
        <w:t>по-изоставаща</w:t>
      </w:r>
      <w:r w:rsidRPr="008C4AFE">
        <w:rPr>
          <w:color w:val="000000" w:themeColor="text1"/>
        </w:rPr>
        <w:t xml:space="preserve"> </w:t>
      </w:r>
      <w:r w:rsidRPr="00EF4AF3">
        <w:rPr>
          <w:color w:val="000000" w:themeColor="text1"/>
        </w:rPr>
        <w:t>позиция спрямо обществен сектор Енергетика, по отношение на средна работна заплата.</w:t>
      </w:r>
    </w:p>
    <w:p w14:paraId="1142CBF6" w14:textId="3E45D29E" w:rsidR="00EF4AF3" w:rsidRDefault="00EF4AF3" w:rsidP="00EF4AF3">
      <w:pPr>
        <w:ind w:left="709"/>
        <w:rPr>
          <w:color w:val="000000" w:themeColor="text1"/>
        </w:rPr>
      </w:pPr>
    </w:p>
    <w:p w14:paraId="2D0F3E6A" w14:textId="0F349257" w:rsidR="00EF4AF3" w:rsidRPr="00EF4AF3" w:rsidRDefault="00EF4AF3" w:rsidP="00EF4AF3">
      <w:pPr>
        <w:ind w:left="709"/>
        <w:rPr>
          <w:color w:val="000000" w:themeColor="text1"/>
        </w:rPr>
      </w:pPr>
    </w:p>
    <w:p w14:paraId="38F3D2C4" w14:textId="11CCA627" w:rsidR="00577482" w:rsidRDefault="00577482" w:rsidP="00577482"/>
    <w:p w14:paraId="7CE987D6" w14:textId="0DCF84B5" w:rsidR="00577482" w:rsidRDefault="00577482" w:rsidP="00577482">
      <w:r>
        <w:t xml:space="preserve"> </w:t>
      </w:r>
    </w:p>
    <w:p w14:paraId="7361385C" w14:textId="77777777" w:rsidR="00EF4AF3" w:rsidRDefault="00EF4AF3" w:rsidP="00EF4AF3">
      <w:pPr>
        <w:pStyle w:val="ListParagraph"/>
        <w:rPr>
          <w:rFonts w:ascii="Frutiger Next for EVN Light" w:hAnsi="Frutiger Next for EVN Light"/>
          <w:b/>
          <w:bCs/>
          <w:sz w:val="19"/>
          <w:szCs w:val="19"/>
        </w:rPr>
      </w:pPr>
    </w:p>
    <w:p w14:paraId="3E0A0396" w14:textId="4C9516DE" w:rsidR="00EF4AF3" w:rsidRDefault="00216977" w:rsidP="00EF4AF3">
      <w:pPr>
        <w:pStyle w:val="ListParagraph"/>
        <w:rPr>
          <w:rFonts w:ascii="Frutiger Next for EVN Light" w:hAnsi="Frutiger Next for EVN Light"/>
          <w:b/>
          <w:bCs/>
          <w:sz w:val="19"/>
          <w:szCs w:val="19"/>
        </w:rPr>
      </w:pPr>
      <w:r>
        <w:rPr>
          <w:rFonts w:ascii="Frutiger Next for EVN Light" w:hAnsi="Frutiger Next for EVN Light"/>
          <w:b/>
          <w:bCs/>
          <w:noProof/>
          <w:sz w:val="19"/>
          <w:szCs w:val="19"/>
        </w:rPr>
        <w:drawing>
          <wp:inline distT="0" distB="0" distL="0" distR="0" wp14:anchorId="0E9B1D17" wp14:editId="6FB7B80B">
            <wp:extent cx="5255260" cy="3877310"/>
            <wp:effectExtent l="0" t="0" r="254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55260" cy="3877310"/>
                    </a:xfrm>
                    <a:prstGeom prst="rect">
                      <a:avLst/>
                    </a:prstGeom>
                    <a:noFill/>
                  </pic:spPr>
                </pic:pic>
              </a:graphicData>
            </a:graphic>
          </wp:inline>
        </w:drawing>
      </w:r>
    </w:p>
    <w:p w14:paraId="0B581A9E" w14:textId="5B9FD2CA" w:rsidR="00EF4AF3" w:rsidRDefault="00EF4AF3" w:rsidP="00EF4AF3">
      <w:pPr>
        <w:pStyle w:val="ListParagraph"/>
        <w:rPr>
          <w:rFonts w:ascii="Frutiger Next for EVN Light" w:hAnsi="Frutiger Next for EVN Light"/>
          <w:b/>
          <w:bCs/>
          <w:sz w:val="19"/>
          <w:szCs w:val="19"/>
        </w:rPr>
      </w:pPr>
    </w:p>
    <w:p w14:paraId="6C3707D5" w14:textId="77777777" w:rsidR="00EF4AF3" w:rsidRPr="00216977" w:rsidRDefault="00EF4AF3" w:rsidP="00216977">
      <w:pPr>
        <w:rPr>
          <w:b/>
          <w:bCs/>
        </w:rPr>
      </w:pPr>
    </w:p>
    <w:p w14:paraId="7490D110" w14:textId="77777777" w:rsidR="00EF4AF3" w:rsidRPr="00650FF7" w:rsidRDefault="00EF4AF3" w:rsidP="00EF4AF3">
      <w:pPr>
        <w:pStyle w:val="ListParagraph"/>
        <w:rPr>
          <w:rFonts w:ascii="Frutiger Next for EVN Light" w:hAnsi="Frutiger Next for EVN Light"/>
          <w:b/>
          <w:bCs/>
          <w:sz w:val="19"/>
          <w:szCs w:val="19"/>
        </w:rPr>
      </w:pPr>
    </w:p>
    <w:p w14:paraId="6E39A01A" w14:textId="77777777" w:rsidR="00EF4AF3" w:rsidRDefault="00EF4AF3" w:rsidP="00EF4AF3"/>
    <w:p w14:paraId="33BFECB3" w14:textId="77777777" w:rsidR="00EF4AF3" w:rsidRDefault="00EF4AF3" w:rsidP="00EF4AF3">
      <w:pPr>
        <w:pStyle w:val="ListParagraph"/>
        <w:numPr>
          <w:ilvl w:val="0"/>
          <w:numId w:val="41"/>
        </w:numPr>
        <w:rPr>
          <w:rFonts w:ascii="Frutiger Next for EVN Light" w:hAnsi="Frutiger Next for EVN Light"/>
          <w:b/>
          <w:bCs/>
          <w:sz w:val="19"/>
          <w:szCs w:val="19"/>
        </w:rPr>
      </w:pPr>
      <w:proofErr w:type="spellStart"/>
      <w:r w:rsidRPr="00650FF7">
        <w:rPr>
          <w:rFonts w:ascii="Frutiger Next for EVN Light" w:hAnsi="Frutiger Next for EVN Light"/>
          <w:b/>
          <w:bCs/>
          <w:sz w:val="19"/>
          <w:szCs w:val="19"/>
        </w:rPr>
        <w:t>Увеличение</w:t>
      </w:r>
      <w:proofErr w:type="spellEnd"/>
      <w:r w:rsidRPr="00650FF7">
        <w:rPr>
          <w:rFonts w:ascii="Frutiger Next for EVN Light" w:hAnsi="Frutiger Next for EVN Light"/>
          <w:b/>
          <w:bCs/>
          <w:sz w:val="19"/>
          <w:szCs w:val="19"/>
        </w:rPr>
        <w:t xml:space="preserve"> </w:t>
      </w:r>
      <w:proofErr w:type="spellStart"/>
      <w:r w:rsidRPr="00650FF7">
        <w:rPr>
          <w:rFonts w:ascii="Frutiger Next for EVN Light" w:hAnsi="Frutiger Next for EVN Light"/>
          <w:b/>
          <w:bCs/>
          <w:sz w:val="19"/>
          <w:szCs w:val="19"/>
        </w:rPr>
        <w:t>на</w:t>
      </w:r>
      <w:proofErr w:type="spellEnd"/>
      <w:r w:rsidRPr="00650FF7">
        <w:rPr>
          <w:rFonts w:ascii="Frutiger Next for EVN Light" w:hAnsi="Frutiger Next for EVN Light"/>
          <w:b/>
          <w:bCs/>
          <w:sz w:val="19"/>
          <w:szCs w:val="19"/>
        </w:rPr>
        <w:t xml:space="preserve"> </w:t>
      </w:r>
      <w:proofErr w:type="spellStart"/>
      <w:r w:rsidRPr="00650FF7">
        <w:rPr>
          <w:rFonts w:ascii="Frutiger Next for EVN Light" w:hAnsi="Frutiger Next for EVN Light"/>
          <w:b/>
          <w:bCs/>
          <w:sz w:val="19"/>
          <w:szCs w:val="19"/>
        </w:rPr>
        <w:t>максималния</w:t>
      </w:r>
      <w:proofErr w:type="spellEnd"/>
      <w:r w:rsidRPr="00650FF7">
        <w:rPr>
          <w:rFonts w:ascii="Frutiger Next for EVN Light" w:hAnsi="Frutiger Next for EVN Light"/>
          <w:b/>
          <w:bCs/>
          <w:sz w:val="19"/>
          <w:szCs w:val="19"/>
        </w:rPr>
        <w:t xml:space="preserve"> </w:t>
      </w:r>
      <w:proofErr w:type="spellStart"/>
      <w:r w:rsidRPr="00650FF7">
        <w:rPr>
          <w:rFonts w:ascii="Frutiger Next for EVN Light" w:hAnsi="Frutiger Next for EVN Light"/>
          <w:b/>
          <w:bCs/>
          <w:sz w:val="19"/>
          <w:szCs w:val="19"/>
        </w:rPr>
        <w:t>осигурителен</w:t>
      </w:r>
      <w:proofErr w:type="spellEnd"/>
      <w:r w:rsidRPr="00650FF7">
        <w:rPr>
          <w:rFonts w:ascii="Frutiger Next for EVN Light" w:hAnsi="Frutiger Next for EVN Light"/>
          <w:b/>
          <w:bCs/>
          <w:sz w:val="19"/>
          <w:szCs w:val="19"/>
        </w:rPr>
        <w:t xml:space="preserve"> </w:t>
      </w:r>
      <w:proofErr w:type="spellStart"/>
      <w:r w:rsidRPr="00650FF7">
        <w:rPr>
          <w:rFonts w:ascii="Frutiger Next for EVN Light" w:hAnsi="Frutiger Next for EVN Light"/>
          <w:b/>
          <w:bCs/>
          <w:sz w:val="19"/>
          <w:szCs w:val="19"/>
        </w:rPr>
        <w:t>доход</w:t>
      </w:r>
      <w:proofErr w:type="spellEnd"/>
      <w:r w:rsidRPr="00650FF7">
        <w:rPr>
          <w:rFonts w:ascii="Frutiger Next for EVN Light" w:hAnsi="Frutiger Next for EVN Light"/>
          <w:b/>
          <w:bCs/>
          <w:sz w:val="19"/>
          <w:szCs w:val="19"/>
        </w:rPr>
        <w:t xml:space="preserve"> </w:t>
      </w:r>
    </w:p>
    <w:p w14:paraId="0E482F89" w14:textId="77777777" w:rsidR="00577482" w:rsidRDefault="00577482" w:rsidP="00577482"/>
    <w:p w14:paraId="02546314" w14:textId="77777777" w:rsidR="00577482" w:rsidRPr="00EF4AF3" w:rsidRDefault="00577482" w:rsidP="00EF4AF3">
      <w:pPr>
        <w:ind w:left="709"/>
        <w:rPr>
          <w:color w:val="000000" w:themeColor="text1"/>
        </w:rPr>
      </w:pPr>
      <w:r w:rsidRPr="00EF4AF3">
        <w:rPr>
          <w:color w:val="000000" w:themeColor="text1"/>
        </w:rPr>
        <w:t>С по-малък ефект, увеличението на максималния осигурителен доход от 3000 на 3400 лева от 1-ви Април 2022 г. също доведе до директно увеличение на разходите за труд.</w:t>
      </w:r>
    </w:p>
    <w:p w14:paraId="7A69B49A" w14:textId="77777777" w:rsidR="00577482" w:rsidRDefault="00577482" w:rsidP="00577482"/>
    <w:p w14:paraId="44427CF2" w14:textId="7519A55D" w:rsidR="00577482" w:rsidRPr="00650FF7" w:rsidRDefault="00577482" w:rsidP="00650FF7">
      <w:pPr>
        <w:pStyle w:val="ListParagraph"/>
        <w:numPr>
          <w:ilvl w:val="0"/>
          <w:numId w:val="41"/>
        </w:numPr>
        <w:rPr>
          <w:rFonts w:ascii="Frutiger Next for EVN Light" w:hAnsi="Frutiger Next for EVN Light"/>
          <w:b/>
          <w:bCs/>
          <w:sz w:val="19"/>
          <w:szCs w:val="19"/>
        </w:rPr>
      </w:pPr>
      <w:proofErr w:type="spellStart"/>
      <w:r w:rsidRPr="00650FF7">
        <w:rPr>
          <w:rFonts w:ascii="Frutiger Next for EVN Light" w:hAnsi="Frutiger Next for EVN Light"/>
          <w:b/>
          <w:bCs/>
          <w:sz w:val="19"/>
          <w:szCs w:val="19"/>
        </w:rPr>
        <w:t>Синдикални</w:t>
      </w:r>
      <w:proofErr w:type="spellEnd"/>
      <w:r w:rsidRPr="00650FF7">
        <w:rPr>
          <w:rFonts w:ascii="Frutiger Next for EVN Light" w:hAnsi="Frutiger Next for EVN Light"/>
          <w:b/>
          <w:bCs/>
          <w:sz w:val="19"/>
          <w:szCs w:val="19"/>
        </w:rPr>
        <w:t xml:space="preserve"> </w:t>
      </w:r>
      <w:proofErr w:type="spellStart"/>
      <w:r w:rsidRPr="00650FF7">
        <w:rPr>
          <w:rFonts w:ascii="Frutiger Next for EVN Light" w:hAnsi="Frutiger Next for EVN Light"/>
          <w:b/>
          <w:bCs/>
          <w:sz w:val="19"/>
          <w:szCs w:val="19"/>
        </w:rPr>
        <w:t>организации</w:t>
      </w:r>
      <w:proofErr w:type="spellEnd"/>
      <w:r w:rsidRPr="00650FF7">
        <w:rPr>
          <w:rFonts w:ascii="Frutiger Next for EVN Light" w:hAnsi="Frutiger Next for EVN Light"/>
          <w:b/>
          <w:bCs/>
          <w:sz w:val="19"/>
          <w:szCs w:val="19"/>
        </w:rPr>
        <w:t xml:space="preserve">, </w:t>
      </w:r>
      <w:proofErr w:type="spellStart"/>
      <w:r w:rsidRPr="00650FF7">
        <w:rPr>
          <w:rFonts w:ascii="Frutiger Next for EVN Light" w:hAnsi="Frutiger Next for EVN Light"/>
          <w:b/>
          <w:bCs/>
          <w:sz w:val="19"/>
          <w:szCs w:val="19"/>
        </w:rPr>
        <w:t>браншови</w:t>
      </w:r>
      <w:proofErr w:type="spellEnd"/>
      <w:r w:rsidRPr="00650FF7">
        <w:rPr>
          <w:rFonts w:ascii="Frutiger Next for EVN Light" w:hAnsi="Frutiger Next for EVN Light"/>
          <w:b/>
          <w:bCs/>
          <w:sz w:val="19"/>
          <w:szCs w:val="19"/>
        </w:rPr>
        <w:t xml:space="preserve"> </w:t>
      </w:r>
      <w:proofErr w:type="spellStart"/>
      <w:r w:rsidRPr="00650FF7">
        <w:rPr>
          <w:rFonts w:ascii="Frutiger Next for EVN Light" w:hAnsi="Frutiger Next for EVN Light"/>
          <w:b/>
          <w:bCs/>
          <w:sz w:val="19"/>
          <w:szCs w:val="19"/>
        </w:rPr>
        <w:t>колективен</w:t>
      </w:r>
      <w:proofErr w:type="spellEnd"/>
      <w:r w:rsidRPr="00650FF7">
        <w:rPr>
          <w:rFonts w:ascii="Frutiger Next for EVN Light" w:hAnsi="Frutiger Next for EVN Light"/>
          <w:b/>
          <w:bCs/>
          <w:sz w:val="19"/>
          <w:szCs w:val="19"/>
        </w:rPr>
        <w:t xml:space="preserve"> </w:t>
      </w:r>
      <w:proofErr w:type="spellStart"/>
      <w:r w:rsidRPr="00650FF7">
        <w:rPr>
          <w:rFonts w:ascii="Frutiger Next for EVN Light" w:hAnsi="Frutiger Next for EVN Light"/>
          <w:b/>
          <w:bCs/>
          <w:sz w:val="19"/>
          <w:szCs w:val="19"/>
        </w:rPr>
        <w:t>трудов</w:t>
      </w:r>
      <w:proofErr w:type="spellEnd"/>
      <w:r w:rsidRPr="00650FF7">
        <w:rPr>
          <w:rFonts w:ascii="Frutiger Next for EVN Light" w:hAnsi="Frutiger Next for EVN Light"/>
          <w:b/>
          <w:bCs/>
          <w:sz w:val="19"/>
          <w:szCs w:val="19"/>
        </w:rPr>
        <w:t xml:space="preserve"> </w:t>
      </w:r>
      <w:proofErr w:type="spellStart"/>
      <w:r w:rsidRPr="00650FF7">
        <w:rPr>
          <w:rFonts w:ascii="Frutiger Next for EVN Light" w:hAnsi="Frutiger Next for EVN Light"/>
          <w:b/>
          <w:bCs/>
          <w:sz w:val="19"/>
          <w:szCs w:val="19"/>
        </w:rPr>
        <w:t>договор</w:t>
      </w:r>
      <w:proofErr w:type="spellEnd"/>
      <w:r w:rsidRPr="00650FF7">
        <w:rPr>
          <w:rFonts w:ascii="Frutiger Next for EVN Light" w:hAnsi="Frutiger Next for EVN Light"/>
          <w:b/>
          <w:bCs/>
          <w:sz w:val="19"/>
          <w:szCs w:val="19"/>
        </w:rPr>
        <w:t xml:space="preserve"> и </w:t>
      </w:r>
      <w:proofErr w:type="spellStart"/>
      <w:r w:rsidRPr="00650FF7">
        <w:rPr>
          <w:rFonts w:ascii="Frutiger Next for EVN Light" w:hAnsi="Frutiger Next for EVN Light"/>
          <w:b/>
          <w:bCs/>
          <w:sz w:val="19"/>
          <w:szCs w:val="19"/>
        </w:rPr>
        <w:t>колек-тивно</w:t>
      </w:r>
      <w:proofErr w:type="spellEnd"/>
      <w:r w:rsidRPr="00650FF7">
        <w:rPr>
          <w:rFonts w:ascii="Frutiger Next for EVN Light" w:hAnsi="Frutiger Next for EVN Light"/>
          <w:b/>
          <w:bCs/>
          <w:sz w:val="19"/>
          <w:szCs w:val="19"/>
        </w:rPr>
        <w:t xml:space="preserve"> </w:t>
      </w:r>
      <w:proofErr w:type="spellStart"/>
      <w:r w:rsidRPr="00650FF7">
        <w:rPr>
          <w:rFonts w:ascii="Frutiger Next for EVN Light" w:hAnsi="Frutiger Next for EVN Light"/>
          <w:b/>
          <w:bCs/>
          <w:sz w:val="19"/>
          <w:szCs w:val="19"/>
        </w:rPr>
        <w:t>договаряне</w:t>
      </w:r>
      <w:proofErr w:type="spellEnd"/>
      <w:r w:rsidRPr="00650FF7">
        <w:rPr>
          <w:rFonts w:ascii="Frutiger Next for EVN Light" w:hAnsi="Frutiger Next for EVN Light"/>
          <w:b/>
          <w:bCs/>
          <w:sz w:val="19"/>
          <w:szCs w:val="19"/>
        </w:rPr>
        <w:t xml:space="preserve"> в </w:t>
      </w:r>
      <w:proofErr w:type="spellStart"/>
      <w:r w:rsidRPr="00650FF7">
        <w:rPr>
          <w:rFonts w:ascii="Frutiger Next for EVN Light" w:hAnsi="Frutiger Next for EVN Light"/>
          <w:b/>
          <w:bCs/>
          <w:sz w:val="19"/>
          <w:szCs w:val="19"/>
        </w:rPr>
        <w:t>дружеството</w:t>
      </w:r>
      <w:proofErr w:type="spellEnd"/>
      <w:r w:rsidRPr="00650FF7">
        <w:rPr>
          <w:rFonts w:ascii="Frutiger Next for EVN Light" w:hAnsi="Frutiger Next for EVN Light"/>
          <w:b/>
          <w:bCs/>
          <w:sz w:val="19"/>
          <w:szCs w:val="19"/>
        </w:rPr>
        <w:t xml:space="preserve"> </w:t>
      </w:r>
    </w:p>
    <w:p w14:paraId="45C02A34" w14:textId="77777777" w:rsidR="00577482" w:rsidRDefault="00577482" w:rsidP="00577482"/>
    <w:p w14:paraId="6F33A513" w14:textId="7EEBBC77" w:rsidR="00577482" w:rsidRPr="00EF4AF3" w:rsidRDefault="00577482" w:rsidP="00EF4AF3">
      <w:pPr>
        <w:ind w:left="709"/>
        <w:rPr>
          <w:color w:val="000000" w:themeColor="text1"/>
        </w:rPr>
      </w:pPr>
      <w:r w:rsidRPr="00EF4AF3">
        <w:rPr>
          <w:color w:val="000000" w:themeColor="text1"/>
        </w:rPr>
        <w:t xml:space="preserve">Не на последно място, сектор енергетика е традиционно силно </w:t>
      </w:r>
      <w:proofErr w:type="spellStart"/>
      <w:r w:rsidRPr="00EF4AF3">
        <w:rPr>
          <w:color w:val="000000" w:themeColor="text1"/>
        </w:rPr>
        <w:t>синдикализиран</w:t>
      </w:r>
      <w:proofErr w:type="spellEnd"/>
      <w:r w:rsidRPr="00EF4AF3">
        <w:rPr>
          <w:color w:val="000000" w:themeColor="text1"/>
        </w:rPr>
        <w:t xml:space="preserve"> и трудовите отношения и възнаграждения се регулират в браншови и локални колективни трудови договори, които са задължителни за изпълнение от дружеството. В сектор енергетика действа браншови колективен договор, в който са уговорени нива на допълнителни възнаграждения, надвишаващи тези по Кодекс на труда, включително социални разходи минимум 10% от фонд работна заплата, които са задължителни за изпълнение и директно водят до увеличение на разходите за труд.</w:t>
      </w:r>
    </w:p>
    <w:p w14:paraId="5223D579" w14:textId="3B5AF485" w:rsidR="009242AD" w:rsidRPr="003240DC" w:rsidRDefault="00C72E5E" w:rsidP="00226ECF">
      <w:pPr>
        <w:pStyle w:val="Heading3"/>
        <w:numPr>
          <w:ilvl w:val="3"/>
          <w:numId w:val="12"/>
        </w:numPr>
        <w:tabs>
          <w:tab w:val="clear" w:pos="709"/>
        </w:tabs>
        <w:spacing w:before="240" w:line="240" w:lineRule="auto"/>
        <w:rPr>
          <w:b/>
          <w:color w:val="0D0D0D" w:themeColor="text1" w:themeTint="F2"/>
          <w:sz w:val="20"/>
        </w:rPr>
      </w:pPr>
      <w:r w:rsidRPr="003240DC">
        <w:rPr>
          <w:b/>
          <w:color w:val="0D0D0D" w:themeColor="text1" w:themeTint="F2"/>
          <w:sz w:val="20"/>
        </w:rPr>
        <w:t>Разходи, пряко свързани с регулираните дейности по ЗЕ</w:t>
      </w:r>
    </w:p>
    <w:p w14:paraId="2B6355AE" w14:textId="77777777" w:rsidR="0083121E" w:rsidRPr="0057086A" w:rsidRDefault="0083121E" w:rsidP="0083121E"/>
    <w:p w14:paraId="320CA942" w14:textId="1FA698F4" w:rsidR="00BF5365" w:rsidRPr="0057086A" w:rsidRDefault="0083121E" w:rsidP="00BF5365">
      <w:pPr>
        <w:spacing w:line="280" w:lineRule="atLeast"/>
        <w:ind w:left="709"/>
        <w:rPr>
          <w:rFonts w:eastAsia="Times New Roman"/>
          <w:spacing w:val="0"/>
        </w:rPr>
      </w:pPr>
      <w:r w:rsidRPr="004668D9">
        <w:rPr>
          <w:color w:val="000000" w:themeColor="text1"/>
        </w:rPr>
        <w:t xml:space="preserve">Разходите пряко свързани с регулираните дейности по ЗЕ </w:t>
      </w:r>
      <w:r w:rsidR="00940F94" w:rsidRPr="004668D9">
        <w:rPr>
          <w:color w:val="000000" w:themeColor="text1"/>
        </w:rPr>
        <w:t>са предвидени да бъдат в размер на</w:t>
      </w:r>
      <w:r w:rsidR="004D0F94" w:rsidRPr="004668D9">
        <w:rPr>
          <w:color w:val="000000" w:themeColor="text1"/>
        </w:rPr>
        <w:t xml:space="preserve"> </w:t>
      </w:r>
      <w:r w:rsidR="000E311E">
        <w:rPr>
          <w:color w:val="000000" w:themeColor="text1"/>
          <w:lang w:val="en-US"/>
        </w:rPr>
        <w:t>x xxx</w:t>
      </w:r>
      <w:r w:rsidRPr="004668D9">
        <w:rPr>
          <w:color w:val="000000" w:themeColor="text1"/>
        </w:rPr>
        <w:t xml:space="preserve"> хил. лв., като основните групи от разходи включени в този компонент са изброени в таблицата (Приложение 1). Разходите са планирани на база на отчетните разходи от 202</w:t>
      </w:r>
      <w:r w:rsidR="00C17385" w:rsidRPr="004668D9">
        <w:rPr>
          <w:color w:val="000000" w:themeColor="text1"/>
        </w:rPr>
        <w:t>3</w:t>
      </w:r>
      <w:r w:rsidRPr="004668D9">
        <w:rPr>
          <w:color w:val="000000" w:themeColor="text1"/>
        </w:rPr>
        <w:t xml:space="preserve"> година индексирани с обявената от НСИ средногодишна инфлация от  </w:t>
      </w:r>
      <w:proofErr w:type="spellStart"/>
      <w:r w:rsidR="000E311E">
        <w:rPr>
          <w:color w:val="000000" w:themeColor="text1"/>
          <w:lang w:val="en-US"/>
        </w:rPr>
        <w:t>x,x</w:t>
      </w:r>
      <w:proofErr w:type="spellEnd"/>
      <w:r w:rsidR="006D41AF" w:rsidRPr="004668D9">
        <w:rPr>
          <w:color w:val="000000" w:themeColor="text1"/>
        </w:rPr>
        <w:t xml:space="preserve">% за периода </w:t>
      </w:r>
      <w:r w:rsidR="00B53DBC" w:rsidRPr="004668D9">
        <w:rPr>
          <w:color w:val="000000" w:themeColor="text1"/>
        </w:rPr>
        <w:t>януари</w:t>
      </w:r>
      <w:r w:rsidR="006D41AF" w:rsidRPr="004668D9">
        <w:rPr>
          <w:color w:val="000000" w:themeColor="text1"/>
        </w:rPr>
        <w:t xml:space="preserve"> 202</w:t>
      </w:r>
      <w:r w:rsidR="00C17385" w:rsidRPr="004668D9">
        <w:rPr>
          <w:color w:val="000000" w:themeColor="text1"/>
        </w:rPr>
        <w:t>2</w:t>
      </w:r>
      <w:r w:rsidR="006D41AF" w:rsidRPr="004668D9">
        <w:rPr>
          <w:color w:val="000000" w:themeColor="text1"/>
        </w:rPr>
        <w:t xml:space="preserve"> - </w:t>
      </w:r>
      <w:r w:rsidR="00B53DBC" w:rsidRPr="004668D9">
        <w:rPr>
          <w:color w:val="000000" w:themeColor="text1"/>
        </w:rPr>
        <w:t>декември</w:t>
      </w:r>
      <w:r w:rsidR="006D41AF" w:rsidRPr="004668D9">
        <w:rPr>
          <w:color w:val="000000" w:themeColor="text1"/>
        </w:rPr>
        <w:t xml:space="preserve"> 202</w:t>
      </w:r>
      <w:r w:rsidR="00C17385" w:rsidRPr="004668D9">
        <w:rPr>
          <w:color w:val="000000" w:themeColor="text1"/>
        </w:rPr>
        <w:t>2</w:t>
      </w:r>
      <w:r w:rsidR="006D41AF" w:rsidRPr="004668D9">
        <w:rPr>
          <w:color w:val="000000" w:themeColor="text1"/>
        </w:rPr>
        <w:t xml:space="preserve"> г. спрямо периода </w:t>
      </w:r>
      <w:r w:rsidR="00B53DBC" w:rsidRPr="004668D9">
        <w:rPr>
          <w:color w:val="000000" w:themeColor="text1"/>
        </w:rPr>
        <w:t>януари 202</w:t>
      </w:r>
      <w:r w:rsidR="00C17385" w:rsidRPr="004668D9">
        <w:rPr>
          <w:color w:val="000000" w:themeColor="text1"/>
        </w:rPr>
        <w:t>3</w:t>
      </w:r>
      <w:r w:rsidR="00B53DBC" w:rsidRPr="004668D9">
        <w:rPr>
          <w:color w:val="000000" w:themeColor="text1"/>
        </w:rPr>
        <w:t xml:space="preserve"> - декември 202</w:t>
      </w:r>
      <w:r w:rsidR="00C17385" w:rsidRPr="004668D9">
        <w:rPr>
          <w:color w:val="000000" w:themeColor="text1"/>
        </w:rPr>
        <w:t>3</w:t>
      </w:r>
      <w:r w:rsidR="00B53DBC" w:rsidRPr="004668D9">
        <w:rPr>
          <w:color w:val="000000" w:themeColor="text1"/>
        </w:rPr>
        <w:t xml:space="preserve"> г. </w:t>
      </w:r>
      <w:r w:rsidR="00D064BA" w:rsidRPr="004668D9">
        <w:rPr>
          <w:color w:val="000000" w:themeColor="text1"/>
        </w:rPr>
        <w:t xml:space="preserve"> Източник: </w:t>
      </w:r>
      <w:hyperlink r:id="rId29" w:history="1">
        <w:r w:rsidR="00BF5365" w:rsidRPr="0057086A">
          <w:rPr>
            <w:rStyle w:val="Hyperlink"/>
          </w:rPr>
          <w:t>Средногодишни ИПЦ, предходните 12 месеца = 100 | Национален статистически институт (nsi.bg)</w:t>
        </w:r>
      </w:hyperlink>
    </w:p>
    <w:p w14:paraId="1E878FBE" w14:textId="77777777" w:rsidR="00EE3F4B" w:rsidRPr="0057086A" w:rsidRDefault="00EE3F4B" w:rsidP="00222839">
      <w:pPr>
        <w:rPr>
          <w:strike/>
          <w:color w:val="FF0000"/>
          <w:lang w:val="en-US"/>
        </w:rPr>
      </w:pPr>
    </w:p>
    <w:p w14:paraId="38EA4F3C" w14:textId="77777777" w:rsidR="00B02104" w:rsidRPr="0057086A" w:rsidRDefault="00B02104" w:rsidP="0083121E">
      <w:pPr>
        <w:ind w:left="709"/>
        <w:rPr>
          <w:strike/>
          <w:color w:val="FF0000"/>
        </w:rPr>
      </w:pPr>
    </w:p>
    <w:p w14:paraId="1FF212B1" w14:textId="77777777" w:rsidR="00706414" w:rsidRPr="0057086A" w:rsidRDefault="00534AC9" w:rsidP="00C72E5E">
      <w:r w:rsidRPr="0057086A">
        <w:tab/>
      </w:r>
    </w:p>
    <w:tbl>
      <w:tblPr>
        <w:tblW w:w="4848" w:type="pct"/>
        <w:tblInd w:w="-152" w:type="dxa"/>
        <w:tblCellMar>
          <w:left w:w="70" w:type="dxa"/>
          <w:right w:w="70" w:type="dxa"/>
        </w:tblCellMar>
        <w:tblLook w:val="04A0" w:firstRow="1" w:lastRow="0" w:firstColumn="1" w:lastColumn="0" w:noHBand="0" w:noVBand="1"/>
      </w:tblPr>
      <w:tblGrid>
        <w:gridCol w:w="3845"/>
        <w:gridCol w:w="987"/>
        <w:gridCol w:w="1373"/>
        <w:gridCol w:w="1772"/>
        <w:gridCol w:w="1349"/>
      </w:tblGrid>
      <w:tr w:rsidR="000E5298" w:rsidRPr="0057086A" w14:paraId="7D9DBFEE" w14:textId="77777777" w:rsidTr="00706414">
        <w:trPr>
          <w:trHeight w:val="478"/>
        </w:trPr>
        <w:tc>
          <w:tcPr>
            <w:tcW w:w="206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4C3E0DA" w14:textId="77777777" w:rsidR="000E5298" w:rsidRPr="0057086A" w:rsidRDefault="000E5298" w:rsidP="000E5298">
            <w:pPr>
              <w:spacing w:line="240" w:lineRule="auto"/>
              <w:jc w:val="center"/>
              <w:rPr>
                <w:rFonts w:eastAsia="Times New Roman" w:cs="Arial"/>
                <w:color w:val="000000"/>
                <w:spacing w:val="0"/>
                <w:sz w:val="20"/>
                <w:szCs w:val="20"/>
                <w:lang w:eastAsia="en-US"/>
              </w:rPr>
            </w:pPr>
            <w:r w:rsidRPr="0057086A">
              <w:rPr>
                <w:rFonts w:eastAsia="Times New Roman" w:cs="Arial"/>
                <w:color w:val="000000"/>
                <w:spacing w:val="0"/>
                <w:sz w:val="20"/>
                <w:szCs w:val="20"/>
                <w:lang w:eastAsia="en-US"/>
              </w:rPr>
              <w:t>НАИМЕНОВАНИЕ НА РАЗХОДА</w:t>
            </w:r>
          </w:p>
        </w:tc>
        <w:tc>
          <w:tcPr>
            <w:tcW w:w="529"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95C8CA" w14:textId="77777777" w:rsidR="000E5298" w:rsidRPr="0057086A" w:rsidRDefault="000E5298" w:rsidP="000E5298">
            <w:pPr>
              <w:spacing w:line="240" w:lineRule="auto"/>
              <w:jc w:val="center"/>
              <w:rPr>
                <w:rFonts w:eastAsia="Times New Roman" w:cs="Arial"/>
                <w:color w:val="000000"/>
                <w:spacing w:val="0"/>
                <w:sz w:val="20"/>
                <w:szCs w:val="20"/>
                <w:lang w:eastAsia="en-US"/>
              </w:rPr>
            </w:pPr>
            <w:r w:rsidRPr="0057086A">
              <w:rPr>
                <w:rFonts w:eastAsia="Times New Roman" w:cs="Arial"/>
                <w:color w:val="000000"/>
                <w:spacing w:val="0"/>
                <w:sz w:val="20"/>
                <w:szCs w:val="20"/>
                <w:lang w:eastAsia="en-US"/>
              </w:rPr>
              <w:t>МЯРКА</w:t>
            </w:r>
          </w:p>
        </w:tc>
        <w:tc>
          <w:tcPr>
            <w:tcW w:w="7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44ACB2" w14:textId="16623D5B" w:rsidR="000E5298" w:rsidRPr="00B634EE" w:rsidRDefault="000E5298" w:rsidP="000E5298">
            <w:pPr>
              <w:spacing w:line="240" w:lineRule="auto"/>
              <w:jc w:val="center"/>
              <w:rPr>
                <w:rFonts w:eastAsia="Times New Roman" w:cs="Arial"/>
                <w:color w:val="000000" w:themeColor="text1"/>
                <w:spacing w:val="0"/>
                <w:sz w:val="20"/>
                <w:szCs w:val="20"/>
                <w:lang w:eastAsia="en-US"/>
              </w:rPr>
            </w:pPr>
            <w:r w:rsidRPr="00B634EE">
              <w:rPr>
                <w:rFonts w:eastAsia="Times New Roman" w:cs="Arial"/>
                <w:color w:val="000000" w:themeColor="text1"/>
                <w:spacing w:val="0"/>
                <w:sz w:val="20"/>
                <w:szCs w:val="20"/>
                <w:lang w:eastAsia="en-US"/>
              </w:rPr>
              <w:t>Отчет за базовата 2023 г.</w:t>
            </w:r>
          </w:p>
        </w:tc>
        <w:tc>
          <w:tcPr>
            <w:tcW w:w="9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FA21529" w14:textId="548A81A6" w:rsidR="000E5298" w:rsidRPr="00B634EE" w:rsidRDefault="000E5298" w:rsidP="000E5298">
            <w:pPr>
              <w:spacing w:line="240" w:lineRule="auto"/>
              <w:jc w:val="center"/>
              <w:rPr>
                <w:rFonts w:eastAsia="Times New Roman" w:cs="Arial"/>
                <w:color w:val="000000" w:themeColor="text1"/>
                <w:spacing w:val="0"/>
                <w:sz w:val="20"/>
                <w:szCs w:val="20"/>
                <w:lang w:eastAsia="en-US"/>
              </w:rPr>
            </w:pPr>
            <w:r w:rsidRPr="00B634EE">
              <w:rPr>
                <w:rFonts w:eastAsia="Times New Roman" w:cs="Arial"/>
                <w:color w:val="000000" w:themeColor="text1"/>
                <w:spacing w:val="0"/>
                <w:sz w:val="20"/>
                <w:szCs w:val="20"/>
                <w:lang w:eastAsia="en-US"/>
              </w:rPr>
              <w:t>Прогноза в цени X</w:t>
            </w:r>
            <w:r w:rsidRPr="00B634EE">
              <w:rPr>
                <w:rFonts w:eastAsia="Times New Roman" w:cs="Arial"/>
                <w:color w:val="000000" w:themeColor="text1"/>
                <w:spacing w:val="0"/>
                <w:sz w:val="20"/>
                <w:szCs w:val="20"/>
                <w:lang w:val="en-US" w:eastAsia="en-US"/>
              </w:rPr>
              <w:t>V</w:t>
            </w:r>
            <w:r w:rsidRPr="00B634EE">
              <w:rPr>
                <w:rFonts w:eastAsia="Times New Roman" w:cs="Arial"/>
                <w:color w:val="000000" w:themeColor="text1"/>
                <w:spacing w:val="0"/>
                <w:sz w:val="20"/>
                <w:szCs w:val="20"/>
                <w:lang w:eastAsia="en-US"/>
              </w:rPr>
              <w:t>-ти РП   01.07.2024 г.</w:t>
            </w:r>
          </w:p>
        </w:tc>
        <w:tc>
          <w:tcPr>
            <w:tcW w:w="7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12A054" w14:textId="24FE5A8B" w:rsidR="000E5298" w:rsidRPr="00B634EE" w:rsidRDefault="000E5298" w:rsidP="000E5298">
            <w:pPr>
              <w:spacing w:line="240" w:lineRule="auto"/>
              <w:jc w:val="center"/>
              <w:rPr>
                <w:rFonts w:eastAsia="Times New Roman" w:cs="Arial"/>
                <w:color w:val="000000" w:themeColor="text1"/>
                <w:spacing w:val="0"/>
                <w:sz w:val="20"/>
                <w:szCs w:val="20"/>
                <w:lang w:eastAsia="en-US"/>
              </w:rPr>
            </w:pPr>
            <w:r w:rsidRPr="00B634EE">
              <w:rPr>
                <w:rFonts w:eastAsia="Times New Roman" w:cs="Arial"/>
                <w:color w:val="000000" w:themeColor="text1"/>
                <w:spacing w:val="0"/>
                <w:sz w:val="20"/>
                <w:szCs w:val="20"/>
                <w:lang w:eastAsia="en-US"/>
              </w:rPr>
              <w:t>Разлика          X</w:t>
            </w:r>
            <w:r w:rsidRPr="00B634EE">
              <w:rPr>
                <w:rFonts w:eastAsia="Times New Roman" w:cs="Arial"/>
                <w:color w:val="000000" w:themeColor="text1"/>
                <w:spacing w:val="0"/>
                <w:sz w:val="20"/>
                <w:szCs w:val="20"/>
                <w:lang w:val="en-US" w:eastAsia="en-US"/>
              </w:rPr>
              <w:t>V</w:t>
            </w:r>
            <w:r w:rsidRPr="00B634EE">
              <w:rPr>
                <w:rFonts w:eastAsia="Times New Roman" w:cs="Arial"/>
                <w:color w:val="000000" w:themeColor="text1"/>
                <w:spacing w:val="0"/>
                <w:sz w:val="20"/>
                <w:szCs w:val="20"/>
                <w:lang w:eastAsia="en-US"/>
              </w:rPr>
              <w:t xml:space="preserve"> РП – 202</w:t>
            </w:r>
            <w:r w:rsidR="00A245F3" w:rsidRPr="00B634EE">
              <w:rPr>
                <w:rFonts w:eastAsia="Times New Roman" w:cs="Arial"/>
                <w:color w:val="000000" w:themeColor="text1"/>
                <w:spacing w:val="0"/>
                <w:sz w:val="20"/>
                <w:szCs w:val="20"/>
                <w:lang w:eastAsia="en-US"/>
              </w:rPr>
              <w:t>3</w:t>
            </w:r>
            <w:r w:rsidRPr="00B634EE">
              <w:rPr>
                <w:rFonts w:eastAsia="Times New Roman" w:cs="Arial"/>
                <w:color w:val="000000" w:themeColor="text1"/>
                <w:spacing w:val="0"/>
                <w:sz w:val="20"/>
                <w:szCs w:val="20"/>
                <w:lang w:eastAsia="en-US"/>
              </w:rPr>
              <w:t xml:space="preserve"> г.</w:t>
            </w:r>
          </w:p>
        </w:tc>
      </w:tr>
      <w:tr w:rsidR="00706414" w:rsidRPr="0057086A" w14:paraId="5CAD1065" w14:textId="77777777" w:rsidTr="00706414">
        <w:trPr>
          <w:trHeight w:val="525"/>
        </w:trPr>
        <w:tc>
          <w:tcPr>
            <w:tcW w:w="2061" w:type="pct"/>
            <w:vMerge/>
            <w:tcBorders>
              <w:top w:val="single" w:sz="8" w:space="0" w:color="auto"/>
              <w:left w:val="single" w:sz="8" w:space="0" w:color="auto"/>
              <w:bottom w:val="single" w:sz="8" w:space="0" w:color="000000"/>
              <w:right w:val="single" w:sz="8" w:space="0" w:color="auto"/>
            </w:tcBorders>
            <w:vAlign w:val="center"/>
            <w:hideMark/>
          </w:tcPr>
          <w:p w14:paraId="27D912C3" w14:textId="77777777" w:rsidR="00706414" w:rsidRPr="0057086A" w:rsidRDefault="00706414" w:rsidP="00570902">
            <w:pPr>
              <w:spacing w:line="240" w:lineRule="auto"/>
              <w:jc w:val="center"/>
              <w:rPr>
                <w:rFonts w:eastAsia="Times New Roman" w:cs="Arial"/>
                <w:color w:val="000000"/>
                <w:spacing w:val="0"/>
                <w:sz w:val="20"/>
                <w:szCs w:val="20"/>
                <w:lang w:eastAsia="en-US"/>
              </w:rPr>
            </w:pPr>
          </w:p>
        </w:tc>
        <w:tc>
          <w:tcPr>
            <w:tcW w:w="529" w:type="pct"/>
            <w:vMerge/>
            <w:tcBorders>
              <w:top w:val="single" w:sz="8" w:space="0" w:color="auto"/>
              <w:left w:val="single" w:sz="8" w:space="0" w:color="auto"/>
              <w:bottom w:val="single" w:sz="8" w:space="0" w:color="000000"/>
              <w:right w:val="single" w:sz="8" w:space="0" w:color="auto"/>
            </w:tcBorders>
            <w:vAlign w:val="center"/>
            <w:hideMark/>
          </w:tcPr>
          <w:p w14:paraId="4DB17BB6" w14:textId="77777777" w:rsidR="00706414" w:rsidRPr="0057086A" w:rsidRDefault="00706414" w:rsidP="00570902">
            <w:pPr>
              <w:spacing w:line="240" w:lineRule="auto"/>
              <w:jc w:val="center"/>
              <w:rPr>
                <w:rFonts w:eastAsia="Times New Roman" w:cs="Arial"/>
                <w:color w:val="000000"/>
                <w:spacing w:val="0"/>
                <w:sz w:val="20"/>
                <w:szCs w:val="20"/>
                <w:lang w:eastAsia="en-US"/>
              </w:rPr>
            </w:pPr>
          </w:p>
        </w:tc>
        <w:tc>
          <w:tcPr>
            <w:tcW w:w="736" w:type="pct"/>
            <w:vMerge/>
            <w:tcBorders>
              <w:top w:val="single" w:sz="8" w:space="0" w:color="auto"/>
              <w:left w:val="single" w:sz="8" w:space="0" w:color="auto"/>
              <w:bottom w:val="single" w:sz="8" w:space="0" w:color="000000"/>
              <w:right w:val="single" w:sz="8" w:space="0" w:color="auto"/>
            </w:tcBorders>
            <w:vAlign w:val="center"/>
            <w:hideMark/>
          </w:tcPr>
          <w:p w14:paraId="2CE3C9CA" w14:textId="77777777" w:rsidR="00706414" w:rsidRPr="0057086A" w:rsidRDefault="00706414" w:rsidP="00570902">
            <w:pPr>
              <w:spacing w:line="240" w:lineRule="auto"/>
              <w:jc w:val="center"/>
              <w:rPr>
                <w:rFonts w:eastAsia="Times New Roman" w:cs="Arial"/>
                <w:color w:val="000000"/>
                <w:spacing w:val="0"/>
                <w:sz w:val="20"/>
                <w:szCs w:val="20"/>
                <w:lang w:eastAsia="en-US"/>
              </w:rPr>
            </w:pPr>
          </w:p>
        </w:tc>
        <w:tc>
          <w:tcPr>
            <w:tcW w:w="950" w:type="pct"/>
            <w:vMerge/>
            <w:tcBorders>
              <w:top w:val="single" w:sz="8" w:space="0" w:color="auto"/>
              <w:left w:val="single" w:sz="8" w:space="0" w:color="auto"/>
              <w:bottom w:val="single" w:sz="8" w:space="0" w:color="000000"/>
              <w:right w:val="single" w:sz="8" w:space="0" w:color="auto"/>
            </w:tcBorders>
            <w:vAlign w:val="center"/>
            <w:hideMark/>
          </w:tcPr>
          <w:p w14:paraId="39C1079A" w14:textId="77777777" w:rsidR="00706414" w:rsidRPr="0057086A" w:rsidRDefault="00706414" w:rsidP="00570902">
            <w:pPr>
              <w:spacing w:line="240" w:lineRule="auto"/>
              <w:jc w:val="center"/>
              <w:rPr>
                <w:rFonts w:eastAsia="Times New Roman" w:cs="Arial"/>
                <w:color w:val="000000"/>
                <w:spacing w:val="0"/>
                <w:sz w:val="20"/>
                <w:szCs w:val="20"/>
                <w:lang w:eastAsia="en-US"/>
              </w:rPr>
            </w:pPr>
          </w:p>
        </w:tc>
        <w:tc>
          <w:tcPr>
            <w:tcW w:w="723" w:type="pct"/>
            <w:vMerge/>
            <w:tcBorders>
              <w:top w:val="single" w:sz="8" w:space="0" w:color="auto"/>
              <w:left w:val="single" w:sz="8" w:space="0" w:color="auto"/>
              <w:bottom w:val="single" w:sz="8" w:space="0" w:color="000000"/>
              <w:right w:val="single" w:sz="8" w:space="0" w:color="auto"/>
            </w:tcBorders>
            <w:vAlign w:val="center"/>
            <w:hideMark/>
          </w:tcPr>
          <w:p w14:paraId="3D4D61C8" w14:textId="77777777" w:rsidR="00706414" w:rsidRPr="0057086A" w:rsidRDefault="00706414" w:rsidP="00570902">
            <w:pPr>
              <w:spacing w:line="240" w:lineRule="auto"/>
              <w:jc w:val="center"/>
              <w:rPr>
                <w:rFonts w:eastAsia="Times New Roman" w:cs="Arial"/>
                <w:color w:val="000000"/>
                <w:spacing w:val="0"/>
                <w:sz w:val="20"/>
                <w:szCs w:val="20"/>
                <w:lang w:eastAsia="en-US"/>
              </w:rPr>
            </w:pPr>
          </w:p>
        </w:tc>
      </w:tr>
      <w:tr w:rsidR="00B634EE" w:rsidRPr="0057086A" w14:paraId="5E910DB4" w14:textId="77777777" w:rsidTr="00C87EFF">
        <w:trPr>
          <w:trHeight w:val="285"/>
        </w:trPr>
        <w:tc>
          <w:tcPr>
            <w:tcW w:w="2061" w:type="pct"/>
            <w:tcBorders>
              <w:top w:val="nil"/>
              <w:left w:val="single" w:sz="4" w:space="0" w:color="auto"/>
              <w:bottom w:val="single" w:sz="8" w:space="0" w:color="auto"/>
              <w:right w:val="single" w:sz="8" w:space="0" w:color="auto"/>
            </w:tcBorders>
            <w:shd w:val="clear" w:color="auto" w:fill="auto"/>
            <w:vAlign w:val="center"/>
            <w:hideMark/>
          </w:tcPr>
          <w:p w14:paraId="765ACB41" w14:textId="0EA154B6" w:rsidR="00B634EE" w:rsidRPr="0057086A" w:rsidRDefault="00B634EE" w:rsidP="00B634EE">
            <w:pPr>
              <w:spacing w:line="240" w:lineRule="auto"/>
              <w:rPr>
                <w:rFonts w:eastAsia="Times New Roman" w:cs="Arial"/>
                <w:spacing w:val="0"/>
                <w:sz w:val="20"/>
                <w:szCs w:val="20"/>
                <w:lang w:eastAsia="en-US"/>
              </w:rPr>
            </w:pPr>
            <w:r w:rsidRPr="0057086A">
              <w:rPr>
                <w:rFonts w:cs="Arial"/>
                <w:b/>
                <w:bCs/>
                <w:sz w:val="20"/>
                <w:szCs w:val="20"/>
              </w:rPr>
              <w:t>Разходи, пряко свързани с регулираните дейности по ЗЕ</w:t>
            </w:r>
          </w:p>
        </w:tc>
        <w:tc>
          <w:tcPr>
            <w:tcW w:w="529" w:type="pct"/>
            <w:tcBorders>
              <w:top w:val="nil"/>
              <w:left w:val="nil"/>
              <w:bottom w:val="single" w:sz="8" w:space="0" w:color="auto"/>
              <w:right w:val="single" w:sz="8" w:space="0" w:color="auto"/>
            </w:tcBorders>
            <w:shd w:val="clear" w:color="auto" w:fill="auto"/>
            <w:vAlign w:val="center"/>
            <w:hideMark/>
          </w:tcPr>
          <w:p w14:paraId="14347148" w14:textId="294B790B" w:rsidR="00B634EE" w:rsidRPr="0057086A" w:rsidRDefault="00B634EE" w:rsidP="00B634EE">
            <w:pPr>
              <w:spacing w:line="240" w:lineRule="auto"/>
              <w:rPr>
                <w:rFonts w:eastAsia="Times New Roman" w:cs="Arial"/>
                <w:spacing w:val="0"/>
                <w:sz w:val="20"/>
                <w:szCs w:val="20"/>
                <w:lang w:eastAsia="en-US"/>
              </w:rPr>
            </w:pPr>
            <w:r w:rsidRPr="0057086A">
              <w:rPr>
                <w:rFonts w:cs="Arial"/>
                <w:sz w:val="20"/>
                <w:szCs w:val="20"/>
              </w:rPr>
              <w:t xml:space="preserve">хил. </w:t>
            </w:r>
            <w:proofErr w:type="spellStart"/>
            <w:r w:rsidRPr="0057086A">
              <w:rPr>
                <w:rFonts w:cs="Arial"/>
                <w:sz w:val="20"/>
                <w:szCs w:val="20"/>
              </w:rPr>
              <w:t>лв</w:t>
            </w:r>
            <w:proofErr w:type="spellEnd"/>
          </w:p>
        </w:tc>
        <w:tc>
          <w:tcPr>
            <w:tcW w:w="736" w:type="pct"/>
            <w:tcBorders>
              <w:top w:val="nil"/>
              <w:left w:val="nil"/>
              <w:bottom w:val="single" w:sz="8" w:space="0" w:color="auto"/>
              <w:right w:val="single" w:sz="8" w:space="0" w:color="auto"/>
            </w:tcBorders>
            <w:shd w:val="clear" w:color="auto" w:fill="auto"/>
            <w:hideMark/>
          </w:tcPr>
          <w:p w14:paraId="3AEA8397" w14:textId="1635BB40" w:rsidR="00B634EE" w:rsidRPr="000E311E" w:rsidRDefault="000E311E" w:rsidP="00B634EE">
            <w:pPr>
              <w:spacing w:line="240" w:lineRule="auto"/>
              <w:rPr>
                <w:rFonts w:eastAsia="Times New Roman" w:cs="Arial"/>
                <w:color w:val="00B050"/>
                <w:spacing w:val="0"/>
                <w:sz w:val="20"/>
                <w:szCs w:val="20"/>
                <w:lang w:val="en-US" w:eastAsia="en-US"/>
              </w:rPr>
            </w:pPr>
            <w:r>
              <w:rPr>
                <w:lang w:val="en-US"/>
              </w:rPr>
              <w:t>x xxx</w:t>
            </w:r>
          </w:p>
        </w:tc>
        <w:tc>
          <w:tcPr>
            <w:tcW w:w="950" w:type="pct"/>
            <w:tcBorders>
              <w:top w:val="nil"/>
              <w:left w:val="nil"/>
              <w:bottom w:val="single" w:sz="8" w:space="0" w:color="auto"/>
              <w:right w:val="single" w:sz="8" w:space="0" w:color="auto"/>
            </w:tcBorders>
            <w:shd w:val="clear" w:color="auto" w:fill="auto"/>
            <w:hideMark/>
          </w:tcPr>
          <w:p w14:paraId="51C706AE" w14:textId="560F2F8D" w:rsidR="00B634EE" w:rsidRPr="000E311E" w:rsidRDefault="000E311E" w:rsidP="00B634EE">
            <w:pPr>
              <w:spacing w:line="240" w:lineRule="auto"/>
              <w:rPr>
                <w:rFonts w:eastAsia="Times New Roman" w:cs="Arial"/>
                <w:color w:val="00B050"/>
                <w:spacing w:val="0"/>
                <w:sz w:val="20"/>
                <w:szCs w:val="20"/>
                <w:lang w:val="en-US" w:eastAsia="en-US"/>
              </w:rPr>
            </w:pPr>
            <w:r>
              <w:rPr>
                <w:lang w:val="en-US"/>
              </w:rPr>
              <w:t>x xxx</w:t>
            </w:r>
          </w:p>
        </w:tc>
        <w:tc>
          <w:tcPr>
            <w:tcW w:w="723" w:type="pct"/>
            <w:tcBorders>
              <w:top w:val="nil"/>
              <w:left w:val="nil"/>
              <w:bottom w:val="single" w:sz="8" w:space="0" w:color="auto"/>
              <w:right w:val="single" w:sz="8" w:space="0" w:color="auto"/>
            </w:tcBorders>
            <w:shd w:val="clear" w:color="auto" w:fill="auto"/>
            <w:hideMark/>
          </w:tcPr>
          <w:p w14:paraId="5B581E58" w14:textId="6E306B3D" w:rsidR="00B634EE" w:rsidRPr="000E311E" w:rsidRDefault="000E311E" w:rsidP="00B634EE">
            <w:pPr>
              <w:spacing w:line="240" w:lineRule="auto"/>
              <w:rPr>
                <w:rFonts w:eastAsia="Times New Roman" w:cs="Arial"/>
                <w:color w:val="00B050"/>
                <w:spacing w:val="0"/>
                <w:sz w:val="20"/>
                <w:szCs w:val="20"/>
                <w:lang w:val="en-US" w:eastAsia="en-US"/>
              </w:rPr>
            </w:pPr>
            <w:r>
              <w:rPr>
                <w:lang w:val="en-US"/>
              </w:rPr>
              <w:t>xxx</w:t>
            </w:r>
          </w:p>
        </w:tc>
      </w:tr>
    </w:tbl>
    <w:p w14:paraId="168E5325" w14:textId="7C4C8E0A" w:rsidR="00C72E5E" w:rsidRPr="0057086A" w:rsidRDefault="00C72E5E" w:rsidP="00C72E5E"/>
    <w:p w14:paraId="5665A106" w14:textId="0A7E6952" w:rsidR="00534AC9" w:rsidRPr="003240DC" w:rsidRDefault="00534AC9" w:rsidP="00C72E5E">
      <w:pPr>
        <w:rPr>
          <w:b/>
          <w:color w:val="00B050"/>
        </w:rPr>
      </w:pPr>
      <w:r w:rsidRPr="0057086A">
        <w:tab/>
      </w:r>
      <w:r w:rsidRPr="00307077">
        <w:rPr>
          <w:b/>
          <w:color w:val="000000" w:themeColor="text1"/>
        </w:rPr>
        <w:t>Вътрешно-групови разходи свързани с дейността:</w:t>
      </w:r>
    </w:p>
    <w:p w14:paraId="50383AD6" w14:textId="6D40BA97" w:rsidR="00F47968" w:rsidRDefault="00F47968" w:rsidP="00F47968">
      <w:pPr>
        <w:ind w:left="709"/>
      </w:pPr>
      <w:r>
        <w:t>С цел осъществяване на лицензионната си дейност с минимални разходи ЕВН България Топлофикация ЕАД (Дружеството) е планирало за текущата година да използва проектно-консултантски услуги, административни и технически вътрешно-групови услуги, както и договор за командироване на персонал с намерение за постигане на ефективно управление на разходите.</w:t>
      </w:r>
    </w:p>
    <w:p w14:paraId="183605FA" w14:textId="77777777" w:rsidR="00F47968" w:rsidRDefault="00F47968" w:rsidP="00F47968">
      <w:pPr>
        <w:ind w:left="709"/>
      </w:pPr>
      <w:r>
        <w:t xml:space="preserve">Планираните проектно консултантски услуги, административни и технически услуги, както и услуги по договор за командироване на персонал включват от една страна (i) проектно- ориентирани услуги, и от друга страна текущи (ii) административни и (iii) технически услуги и (iv) услуги по договор за командироване на персонал подпомагащи по-ефективното извършване на основните дейности на Дружеството. </w:t>
      </w:r>
    </w:p>
    <w:p w14:paraId="6B900050" w14:textId="77777777" w:rsidR="00F47968" w:rsidRPr="005E3D57" w:rsidRDefault="00F47968" w:rsidP="00F47968">
      <w:pPr>
        <w:ind w:left="709"/>
        <w:rPr>
          <w:b/>
          <w:bCs/>
        </w:rPr>
      </w:pPr>
      <w:r w:rsidRPr="005E3D57">
        <w:rPr>
          <w:b/>
          <w:bCs/>
        </w:rPr>
        <w:t xml:space="preserve">Електронни услуги за SAP, Microsoft и </w:t>
      </w:r>
      <w:proofErr w:type="spellStart"/>
      <w:r w:rsidRPr="005E3D57">
        <w:rPr>
          <w:b/>
          <w:bCs/>
        </w:rPr>
        <w:t>Oracle</w:t>
      </w:r>
      <w:proofErr w:type="spellEnd"/>
      <w:r w:rsidRPr="005E3D57">
        <w:rPr>
          <w:b/>
          <w:bCs/>
        </w:rPr>
        <w:t xml:space="preserve"> </w:t>
      </w:r>
    </w:p>
    <w:p w14:paraId="0E68FB9F" w14:textId="179A7D2B" w:rsidR="00F47968" w:rsidRDefault="00F47968" w:rsidP="00F47968">
      <w:pPr>
        <w:ind w:left="709"/>
      </w:pPr>
      <w:r>
        <w:t xml:space="preserve">Дружеството ни получава електронни услуги свързани с конфигурацията, функционирането и поддръжката на лицензирани софтуери на SAP, Microsoft и </w:t>
      </w:r>
      <w:proofErr w:type="spellStart"/>
      <w:r>
        <w:t>Oracle</w:t>
      </w:r>
      <w:proofErr w:type="spellEnd"/>
      <w:r>
        <w:t xml:space="preserve"> с цел безпроблемното функциониране на софтуерните програми.</w:t>
      </w:r>
    </w:p>
    <w:p w14:paraId="6C89AE4B" w14:textId="77777777" w:rsidR="00F47968" w:rsidRDefault="00F47968" w:rsidP="00F47968">
      <w:pPr>
        <w:ind w:left="709"/>
      </w:pPr>
      <w:r>
        <w:t>Разходната база за всичките вътрешно-групови услуги се планира да се формира единствено на база степента на отговорностите, необходимите умения на ангажирания персонал, както и на времето и ресурсите необходими за осъществяване на съответната услуга. Възнаграждението е планирано да се изчислява на базата на реално отработените часове и приложимата часова ставка спрямо едни потребител.</w:t>
      </w:r>
    </w:p>
    <w:p w14:paraId="78F0618A" w14:textId="77777777" w:rsidR="00F47968" w:rsidRPr="005E3D57" w:rsidRDefault="00F47968" w:rsidP="00F47968">
      <w:pPr>
        <w:ind w:left="709"/>
        <w:rPr>
          <w:b/>
          <w:bCs/>
        </w:rPr>
      </w:pPr>
      <w:r w:rsidRPr="005E3D57">
        <w:rPr>
          <w:b/>
          <w:bCs/>
        </w:rPr>
        <w:t>Счетоводство и други финансово административни услуги</w:t>
      </w:r>
    </w:p>
    <w:p w14:paraId="38DAD35C" w14:textId="77777777" w:rsidR="00F47968" w:rsidRDefault="00F47968" w:rsidP="00F47968">
      <w:pPr>
        <w:ind w:left="709"/>
      </w:pPr>
      <w:r>
        <w:lastRenderedPageBreak/>
        <w:t>Стойността на всички планирани услуги е базирана на прогнозни данни, формирани в резултат на  извършен детайлен анализ в процеса на цялостното планиране дейността на дружеството.</w:t>
      </w:r>
    </w:p>
    <w:p w14:paraId="3DEB3D60" w14:textId="77777777" w:rsidR="00F47968" w:rsidRDefault="00F47968" w:rsidP="00F47968">
      <w:pPr>
        <w:ind w:left="709"/>
      </w:pPr>
      <w:r>
        <w:t>Планираните финансови административни услуги се основават на сключен договор за административни услуги между ЕВН Център за услуги ЕООД и ЕВН България Топлофикация ЕАД от 01.10.2011г.,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счетоводството и други финансови услуги включват изброените по-долу дейности:</w:t>
      </w:r>
    </w:p>
    <w:p w14:paraId="049E5442" w14:textId="77777777" w:rsidR="00F47968" w:rsidRDefault="00F47968" w:rsidP="00F47968">
      <w:pPr>
        <w:ind w:left="709"/>
      </w:pPr>
      <w:r>
        <w:t>•</w:t>
      </w:r>
      <w:r>
        <w:tab/>
        <w:t xml:space="preserve">Услуги по оперативно счетоводство- администриране на счетоводни документи; изготвяне на финансови отчети; обновяване на </w:t>
      </w:r>
      <w:proofErr w:type="spellStart"/>
      <w:r>
        <w:t>сч</w:t>
      </w:r>
      <w:proofErr w:type="spellEnd"/>
      <w:r>
        <w:t>. п-</w:t>
      </w:r>
      <w:proofErr w:type="spellStart"/>
      <w:r>
        <w:t>ка</w:t>
      </w:r>
      <w:proofErr w:type="spellEnd"/>
      <w:r>
        <w:t xml:space="preserve"> и инструкции; осчетоводяване на документите- -кредитори, дебитори; осчетоводяване на ДА и ММП; осчетоводяване на материални запаси; контрол и анализ на </w:t>
      </w:r>
      <w:proofErr w:type="spellStart"/>
      <w:r>
        <w:t>сч</w:t>
      </w:r>
      <w:proofErr w:type="spellEnd"/>
      <w:r>
        <w:t>. Записи; актуализиране на структурата на ЕРП с-ма; поддръжка на база данни; контакт с финансови институции; участие и работа с проверяващите екипи</w:t>
      </w:r>
    </w:p>
    <w:p w14:paraId="49132D49" w14:textId="77777777" w:rsidR="00F47968" w:rsidRDefault="00F47968" w:rsidP="00F47968">
      <w:pPr>
        <w:ind w:left="709"/>
      </w:pPr>
      <w:r>
        <w:t>•</w:t>
      </w:r>
      <w:r>
        <w:tab/>
        <w:t>Услуги по данъчни въпроси - съставяне и анализ справки за данъци; съставяне и анализ годишни данъци; осчетоводяване и анализ отсрочени данъци; изчисляване и анализ разходи по ЗКПО; съставяне и подаване декларации  по ЗКПО, ДДС, ЗАДС, ЗМДТ; съставяне на платежни док-ти за данъци; изчисляване на  ДДС в др. случаи;</w:t>
      </w:r>
    </w:p>
    <w:p w14:paraId="7FBD2408" w14:textId="77777777" w:rsidR="00F47968" w:rsidRDefault="00F47968" w:rsidP="00F47968">
      <w:pPr>
        <w:ind w:left="709"/>
      </w:pPr>
      <w:r>
        <w:t>•</w:t>
      </w:r>
      <w:r>
        <w:tab/>
        <w:t xml:space="preserve">Услуги по </w:t>
      </w:r>
      <w:proofErr w:type="spellStart"/>
      <w:r>
        <w:t>контролинг</w:t>
      </w:r>
      <w:proofErr w:type="spellEnd"/>
      <w:r>
        <w:t xml:space="preserve"> - разработване на бюджети и прогнози; калкулация и анализ на икономическа ефективност; изготвяне на месечни отчети и анализи; отговорност и поддръжка на МIS; калкулация и анализ на разходите; калкулация на груповите услуги; изготвяне на правила за </w:t>
      </w:r>
      <w:proofErr w:type="spellStart"/>
      <w:r>
        <w:t>алокация</w:t>
      </w:r>
      <w:proofErr w:type="spellEnd"/>
      <w:r>
        <w:t xml:space="preserve">; поддържане на данни в SAP </w:t>
      </w:r>
      <w:proofErr w:type="spellStart"/>
      <w:r>
        <w:t>Контролинг</w:t>
      </w:r>
      <w:proofErr w:type="spellEnd"/>
      <w:r>
        <w:t>; кал-я на цените на услугите за 3-ти лица;</w:t>
      </w:r>
    </w:p>
    <w:p w14:paraId="161C30EF" w14:textId="77777777" w:rsidR="00F47968" w:rsidRDefault="00F47968" w:rsidP="00F47968">
      <w:pPr>
        <w:ind w:left="709"/>
      </w:pPr>
      <w:r>
        <w:t>•</w:t>
      </w:r>
      <w:r>
        <w:tab/>
        <w:t>Услуги по администриране на финансовите средства (</w:t>
      </w:r>
      <w:proofErr w:type="spellStart"/>
      <w:r>
        <w:t>трежъри</w:t>
      </w:r>
      <w:proofErr w:type="spellEnd"/>
      <w:r>
        <w:t xml:space="preserve">)- мониторинг на ликвидността; контакти с банките; ежедневни операции по банковите сметки; ежедневна отчетност баланса по сметки; администриране на банкови депозити; администриране на банкови кредити; администриране получени гаранции; обслужване на предоставени гаранции; </w:t>
      </w:r>
    </w:p>
    <w:p w14:paraId="528DF533" w14:textId="06AC3E4C" w:rsidR="00F47968" w:rsidRPr="00A2445E" w:rsidRDefault="00F47968" w:rsidP="00F47968">
      <w:pPr>
        <w:ind w:left="709"/>
      </w:pPr>
      <w:r w:rsidRPr="00A2445E">
        <w:t>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w:t>
      </w:r>
      <w:r w:rsidR="00A2445E" w:rsidRPr="00A2445E">
        <w:t>.</w:t>
      </w:r>
    </w:p>
    <w:p w14:paraId="2B047E18" w14:textId="77777777" w:rsidR="00F47968" w:rsidRPr="005E3D57" w:rsidRDefault="00F47968" w:rsidP="00F47968">
      <w:pPr>
        <w:ind w:left="709"/>
        <w:rPr>
          <w:b/>
          <w:bCs/>
        </w:rPr>
      </w:pPr>
      <w:r w:rsidRPr="005E3D57">
        <w:rPr>
          <w:b/>
          <w:bCs/>
        </w:rPr>
        <w:t>Правни и корпоративни въпроси</w:t>
      </w:r>
    </w:p>
    <w:p w14:paraId="66662D04" w14:textId="77777777" w:rsidR="00F47968" w:rsidRDefault="00F47968" w:rsidP="00F47968">
      <w:pPr>
        <w:ind w:left="709"/>
      </w:pPr>
      <w:r>
        <w:t>Планираните правни и корпоративни услуги се основават на сключен договор за административни услуги между ЕВН Център за услуги ЕООД и ЕВН България Топлофикация ЕАД от 01.10.2011г.,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услугите по правни и корпоративни въпроси включват изброените по-долу дейности:</w:t>
      </w:r>
    </w:p>
    <w:p w14:paraId="78D9EB89" w14:textId="77777777" w:rsidR="00F47968" w:rsidRDefault="00F47968" w:rsidP="00F47968">
      <w:pPr>
        <w:ind w:left="709"/>
      </w:pPr>
      <w:r>
        <w:t>•</w:t>
      </w:r>
      <w:r>
        <w:tab/>
        <w:t>подготовка на юридически становища</w:t>
      </w:r>
    </w:p>
    <w:p w14:paraId="5B2DD4FD" w14:textId="77777777" w:rsidR="00F47968" w:rsidRDefault="00F47968" w:rsidP="00F47968">
      <w:pPr>
        <w:ind w:left="709"/>
      </w:pPr>
      <w:r>
        <w:t>•</w:t>
      </w:r>
      <w:r>
        <w:tab/>
        <w:t>участие в и съдействие при преговори</w:t>
      </w:r>
    </w:p>
    <w:p w14:paraId="0850CF3F" w14:textId="77777777" w:rsidR="00F47968" w:rsidRDefault="00F47968" w:rsidP="00F47968">
      <w:pPr>
        <w:ind w:left="709"/>
      </w:pPr>
      <w:r>
        <w:t>•</w:t>
      </w:r>
      <w:r>
        <w:tab/>
        <w:t>правно съдействие за подготовка на документи</w:t>
      </w:r>
    </w:p>
    <w:p w14:paraId="1F2B557E" w14:textId="77777777" w:rsidR="00F47968" w:rsidRDefault="00F47968" w:rsidP="00F47968">
      <w:pPr>
        <w:ind w:left="709"/>
      </w:pPr>
      <w:r>
        <w:t>•</w:t>
      </w:r>
      <w:r>
        <w:tab/>
        <w:t>подготовка на проекти по съдебни дела</w:t>
      </w:r>
    </w:p>
    <w:p w14:paraId="5C7B7FB0" w14:textId="77777777" w:rsidR="00F47968" w:rsidRDefault="00F47968" w:rsidP="00F47968">
      <w:pPr>
        <w:ind w:left="709"/>
      </w:pPr>
      <w:r>
        <w:t>•</w:t>
      </w:r>
      <w:r>
        <w:tab/>
        <w:t>съдействие изготвяне на официални док-ти</w:t>
      </w:r>
    </w:p>
    <w:p w14:paraId="08DE76A1" w14:textId="77777777" w:rsidR="00F47968" w:rsidRDefault="00F47968" w:rsidP="00F47968">
      <w:pPr>
        <w:ind w:left="709"/>
      </w:pPr>
      <w:r>
        <w:t>•</w:t>
      </w:r>
      <w:r>
        <w:tab/>
        <w:t>съдействие по регистрирани производства</w:t>
      </w:r>
    </w:p>
    <w:p w14:paraId="5979C359" w14:textId="77777777" w:rsidR="00F47968" w:rsidRDefault="00F47968" w:rsidP="00F47968">
      <w:pPr>
        <w:ind w:left="709"/>
      </w:pPr>
      <w:r>
        <w:t>•</w:t>
      </w:r>
      <w:r>
        <w:tab/>
        <w:t>съдействие на дружество-ЗОП</w:t>
      </w:r>
    </w:p>
    <w:p w14:paraId="2F480466" w14:textId="77777777" w:rsidR="00F47968" w:rsidRDefault="00F47968" w:rsidP="00F47968">
      <w:pPr>
        <w:ind w:left="709"/>
      </w:pPr>
      <w:r>
        <w:t>•</w:t>
      </w:r>
      <w:r>
        <w:tab/>
        <w:t>съдействие на дружество-застраховки</w:t>
      </w:r>
    </w:p>
    <w:p w14:paraId="78DD9970" w14:textId="77777777" w:rsidR="00F47968" w:rsidRDefault="00F47968" w:rsidP="00F47968">
      <w:pPr>
        <w:ind w:left="709"/>
      </w:pPr>
      <w:r>
        <w:t>•</w:t>
      </w:r>
      <w:r>
        <w:tab/>
        <w:t>съдействие на дружество-процеси и правила със задължителен характер</w:t>
      </w:r>
    </w:p>
    <w:p w14:paraId="68545C77" w14:textId="77777777" w:rsidR="00F47968" w:rsidRDefault="00F47968" w:rsidP="00F47968">
      <w:pPr>
        <w:ind w:left="709"/>
      </w:pPr>
      <w:r>
        <w:t>•</w:t>
      </w:r>
      <w:r>
        <w:tab/>
        <w:t>съдействие на дружество-концепции</w:t>
      </w:r>
    </w:p>
    <w:p w14:paraId="076C27F6" w14:textId="77777777" w:rsidR="00F47968" w:rsidRDefault="00F47968" w:rsidP="00F47968">
      <w:pPr>
        <w:ind w:left="709"/>
      </w:pPr>
      <w:r>
        <w:t>•</w:t>
      </w:r>
      <w:r>
        <w:tab/>
        <w:t>съдействие на дружество-проекти</w:t>
      </w:r>
    </w:p>
    <w:p w14:paraId="5B45BCF7" w14:textId="77777777" w:rsidR="00F47968" w:rsidRDefault="00F47968" w:rsidP="00F47968">
      <w:pPr>
        <w:ind w:left="709"/>
      </w:pPr>
      <w:r>
        <w:t>•</w:t>
      </w:r>
      <w:r>
        <w:tab/>
        <w:t>съдействие-КСО</w:t>
      </w:r>
    </w:p>
    <w:p w14:paraId="1D6F3D34" w14:textId="77777777" w:rsidR="00F47968" w:rsidRDefault="00F47968" w:rsidP="00F47968">
      <w:pPr>
        <w:ind w:left="709"/>
      </w:pPr>
      <w:r>
        <w:t>•</w:t>
      </w:r>
      <w:r>
        <w:tab/>
        <w:t>съдействие чрез медиация</w:t>
      </w:r>
    </w:p>
    <w:p w14:paraId="4F8BB5D4" w14:textId="77777777" w:rsidR="00F47968" w:rsidRDefault="00F47968" w:rsidP="00F47968">
      <w:pPr>
        <w:ind w:left="709"/>
      </w:pPr>
      <w:r>
        <w:t>•</w:t>
      </w:r>
      <w:r>
        <w:tab/>
        <w:t>съдействие регулаторна рамка</w:t>
      </w:r>
    </w:p>
    <w:p w14:paraId="3DCB59DC" w14:textId="77777777" w:rsidR="00F47968" w:rsidRDefault="00F47968" w:rsidP="00F47968">
      <w:pPr>
        <w:ind w:left="709"/>
      </w:pPr>
      <w:r>
        <w:t>•</w:t>
      </w:r>
      <w:r>
        <w:tab/>
        <w:t>административно-техническо съдействие</w:t>
      </w:r>
    </w:p>
    <w:p w14:paraId="3D433094" w14:textId="77777777" w:rsidR="00F47968" w:rsidRDefault="00F47968" w:rsidP="00F47968">
      <w:pPr>
        <w:ind w:left="709"/>
      </w:pPr>
      <w:r>
        <w:t>•</w:t>
      </w:r>
      <w:r>
        <w:tab/>
        <w:t>деловодна и архивна дейност</w:t>
      </w:r>
    </w:p>
    <w:p w14:paraId="55AB6792" w14:textId="77777777" w:rsidR="00F47968" w:rsidRDefault="00F47968" w:rsidP="00F47968">
      <w:pPr>
        <w:ind w:left="709"/>
      </w:pPr>
      <w:r>
        <w:t>•</w:t>
      </w:r>
      <w:r>
        <w:tab/>
        <w:t>съдействие при писмени и устни преводи</w:t>
      </w:r>
    </w:p>
    <w:p w14:paraId="2BB122A8" w14:textId="698F09B7" w:rsidR="00F47968" w:rsidRPr="00E50DF4" w:rsidRDefault="00F47968" w:rsidP="00F47968">
      <w:pPr>
        <w:ind w:left="709"/>
      </w:pPr>
      <w:r w:rsidRPr="00E50DF4">
        <w:t xml:space="preserve">Възнаграждението (цената) на услугите се определя по метода на „увеличената стойност“, в чиято стойност се включват всички преки и непреки разходи, необходими за извършване на конкретната услуга. </w:t>
      </w:r>
    </w:p>
    <w:p w14:paraId="458B5FF9" w14:textId="77777777" w:rsidR="00F47968" w:rsidRPr="005E3D57" w:rsidRDefault="00F47968" w:rsidP="00F47968">
      <w:pPr>
        <w:ind w:left="709"/>
        <w:rPr>
          <w:b/>
          <w:bCs/>
        </w:rPr>
      </w:pPr>
      <w:r w:rsidRPr="005E3D57">
        <w:rPr>
          <w:b/>
          <w:bCs/>
        </w:rPr>
        <w:t>Покупки и склад</w:t>
      </w:r>
    </w:p>
    <w:p w14:paraId="0EED9E3D" w14:textId="77777777" w:rsidR="00F47968" w:rsidRDefault="00F47968" w:rsidP="00F47968">
      <w:pPr>
        <w:ind w:left="709"/>
      </w:pPr>
      <w:r>
        <w:lastRenderedPageBreak/>
        <w:t>Планираните услуги за покупки и склад се основават на сключен договор за услуги между ЕВН Център за услуги ЕООД и ЕВН България Топлофикация ЕАД от 01.10.2011г.,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материалното снабдяване и складиране включват изброените по-долу дейности:</w:t>
      </w:r>
    </w:p>
    <w:p w14:paraId="4CDC4846" w14:textId="77777777" w:rsidR="00F47968" w:rsidRDefault="00F47968" w:rsidP="00F47968">
      <w:pPr>
        <w:ind w:left="709"/>
      </w:pPr>
      <w:r>
        <w:t>•</w:t>
      </w:r>
      <w:r>
        <w:tab/>
        <w:t>Съдействие при изготвяне на възложения по смисъла на ЗОП. Изготвяне на необходима документация при подготовка и провеждане на обществени поръчки</w:t>
      </w:r>
    </w:p>
    <w:p w14:paraId="39CD9586" w14:textId="77777777" w:rsidR="00F47968" w:rsidRDefault="00F47968" w:rsidP="00F47968">
      <w:pPr>
        <w:ind w:left="709"/>
      </w:pPr>
      <w:r>
        <w:t>•</w:t>
      </w:r>
      <w:r>
        <w:tab/>
        <w:t>Наблюдение и анализ на пазарните условия с цел да се осигури възможност на Дружеството-заявител да получи информация, съответстваща на идентифицираната необходимост от доставка на стока или услуга и достатъчна за избор на конкретен доставчик</w:t>
      </w:r>
    </w:p>
    <w:p w14:paraId="1EEE0555" w14:textId="77777777" w:rsidR="00F47968" w:rsidRDefault="00F47968" w:rsidP="00F47968">
      <w:pPr>
        <w:ind w:left="709"/>
      </w:pPr>
      <w:r>
        <w:t>•</w:t>
      </w:r>
      <w:r>
        <w:tab/>
        <w:t>Подбор на подходящи обществени поръчки за прилагането на конкретен ред за провеждане и възлагане на обществени поръчки; съдействие за тяхното оповестяване</w:t>
      </w:r>
    </w:p>
    <w:p w14:paraId="2C4F4494" w14:textId="77777777" w:rsidR="00F47968" w:rsidRDefault="00F47968" w:rsidP="00F47968">
      <w:pPr>
        <w:ind w:left="709"/>
      </w:pPr>
      <w:r>
        <w:t>•</w:t>
      </w:r>
      <w:r>
        <w:tab/>
        <w:t>Водене на преговори за сключване договори за доставка на стоки и услуги</w:t>
      </w:r>
    </w:p>
    <w:p w14:paraId="7806AC2B" w14:textId="77777777" w:rsidR="00F47968" w:rsidRDefault="00F47968" w:rsidP="00F47968">
      <w:pPr>
        <w:ind w:left="709"/>
      </w:pPr>
      <w:r>
        <w:t>•</w:t>
      </w:r>
      <w:r>
        <w:tab/>
        <w:t>Координация и администрация на дейности свързани с функционирането на складове за материали</w:t>
      </w:r>
    </w:p>
    <w:p w14:paraId="3307D59F" w14:textId="77777777" w:rsidR="00F47968" w:rsidRDefault="00F47968" w:rsidP="00F47968">
      <w:pPr>
        <w:ind w:left="709"/>
      </w:pPr>
      <w:r>
        <w:t>•</w:t>
      </w:r>
      <w:r>
        <w:tab/>
        <w:t>Поддръжка на база данни за доставчици и материали</w:t>
      </w:r>
    </w:p>
    <w:p w14:paraId="4E9B1319" w14:textId="77777777" w:rsidR="00F47968" w:rsidRDefault="00F47968" w:rsidP="00F47968">
      <w:pPr>
        <w:ind w:left="709"/>
      </w:pPr>
      <w:r>
        <w:t>•</w:t>
      </w:r>
      <w:r>
        <w:tab/>
        <w:t>Услуги по инфраструктура</w:t>
      </w:r>
    </w:p>
    <w:p w14:paraId="2E3873DC" w14:textId="77777777" w:rsidR="00F47968" w:rsidRDefault="00F47968" w:rsidP="00F47968">
      <w:pPr>
        <w:ind w:left="709"/>
      </w:pPr>
      <w:r>
        <w:t>-</w:t>
      </w:r>
      <w:r>
        <w:tab/>
        <w:t>портиерна служба и охрана;</w:t>
      </w:r>
    </w:p>
    <w:p w14:paraId="46C1873A" w14:textId="77777777" w:rsidR="00F47968" w:rsidRDefault="00F47968" w:rsidP="00F47968">
      <w:pPr>
        <w:ind w:left="709"/>
      </w:pPr>
      <w:r>
        <w:t>-</w:t>
      </w:r>
      <w:r>
        <w:tab/>
        <w:t>закупуване, инвентаризация и поддръжка на офис</w:t>
      </w:r>
    </w:p>
    <w:p w14:paraId="096DA0C7" w14:textId="77777777" w:rsidR="00F47968" w:rsidRDefault="00F47968" w:rsidP="00F47968">
      <w:pPr>
        <w:ind w:left="709"/>
      </w:pPr>
      <w:r>
        <w:t>-</w:t>
      </w:r>
      <w:r>
        <w:tab/>
        <w:t>управление на инфраструктурни съоръжения- водене, поддръжка, преустройство и пускане в експлоатация на всички съоръжения</w:t>
      </w:r>
    </w:p>
    <w:p w14:paraId="4DBDAA90" w14:textId="77777777" w:rsidR="00F47968" w:rsidRDefault="00F47968" w:rsidP="00F47968">
      <w:pPr>
        <w:ind w:left="709"/>
      </w:pPr>
      <w:r>
        <w:t>-</w:t>
      </w:r>
      <w:r>
        <w:tab/>
        <w:t>управление на сгради и строителни съоръжения</w:t>
      </w:r>
    </w:p>
    <w:p w14:paraId="00453FF7" w14:textId="77777777" w:rsidR="00F47968" w:rsidRDefault="00F47968" w:rsidP="00F47968">
      <w:pPr>
        <w:ind w:left="709"/>
      </w:pPr>
      <w:r>
        <w:t>-</w:t>
      </w:r>
      <w:r>
        <w:tab/>
        <w:t>техническата поддръжка на офис оборудване</w:t>
      </w:r>
    </w:p>
    <w:p w14:paraId="7BB39E8C" w14:textId="7053190A" w:rsidR="00F47968" w:rsidRPr="009E731E" w:rsidRDefault="00F47968" w:rsidP="00F47968">
      <w:pPr>
        <w:ind w:left="709"/>
      </w:pPr>
      <w:r w:rsidRPr="009E731E">
        <w:t>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w:t>
      </w:r>
      <w:r w:rsidR="009E731E" w:rsidRPr="009E731E">
        <w:t>.</w:t>
      </w:r>
    </w:p>
    <w:p w14:paraId="34D66D6D" w14:textId="77777777" w:rsidR="00F47968" w:rsidRPr="005E3D57" w:rsidRDefault="00F47968" w:rsidP="00F47968">
      <w:pPr>
        <w:ind w:left="709"/>
        <w:rPr>
          <w:b/>
          <w:bCs/>
        </w:rPr>
      </w:pPr>
      <w:r w:rsidRPr="005E3D57">
        <w:rPr>
          <w:b/>
          <w:bCs/>
        </w:rPr>
        <w:t>IT и телекомуникация</w:t>
      </w:r>
    </w:p>
    <w:p w14:paraId="2130CD89" w14:textId="77777777" w:rsidR="00F47968" w:rsidRDefault="00F47968" w:rsidP="00F47968">
      <w:pPr>
        <w:ind w:left="709"/>
      </w:pPr>
      <w:r>
        <w:t>Планираните услуги за покупки и склад се основават на сключен договор за услуги между ЕВН Център за услуги ЕООД и ЕВН България Топлофикация ЕАД от 01.10.2011г.,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информационните технологии и телекомуникации изброените по-долу дейности:</w:t>
      </w:r>
    </w:p>
    <w:p w14:paraId="6849B990" w14:textId="77777777" w:rsidR="00F47968" w:rsidRDefault="00F47968" w:rsidP="00F47968">
      <w:pPr>
        <w:ind w:left="709"/>
      </w:pPr>
      <w:r>
        <w:t>•</w:t>
      </w:r>
      <w:r>
        <w:tab/>
        <w:t>Съдействие за осигуряване на правилно, непрекъснато и сигурно функциониране на информационни  процеси, както и администрация и координация на дейности, свързани с тяхното функциониране в дружеството</w:t>
      </w:r>
    </w:p>
    <w:p w14:paraId="6F60BD60" w14:textId="77777777" w:rsidR="00F47968" w:rsidRDefault="00F47968" w:rsidP="00F47968">
      <w:pPr>
        <w:ind w:left="709"/>
      </w:pPr>
      <w:r>
        <w:t>•</w:t>
      </w:r>
      <w:r>
        <w:tab/>
        <w:t>Изготвяне на справки от бизнес системите и формуляри за масов печат</w:t>
      </w:r>
    </w:p>
    <w:p w14:paraId="6D4DF393" w14:textId="77777777" w:rsidR="00F47968" w:rsidRDefault="00F47968" w:rsidP="00F47968">
      <w:pPr>
        <w:ind w:left="709"/>
      </w:pPr>
      <w:r>
        <w:t>•</w:t>
      </w:r>
      <w:r>
        <w:tab/>
      </w:r>
      <w:proofErr w:type="spellStart"/>
      <w:r>
        <w:t>Business</w:t>
      </w:r>
      <w:proofErr w:type="spellEnd"/>
      <w:r>
        <w:t xml:space="preserve"> </w:t>
      </w:r>
      <w:proofErr w:type="spellStart"/>
      <w:r>
        <w:t>intelligence</w:t>
      </w:r>
      <w:proofErr w:type="spellEnd"/>
      <w:r>
        <w:t xml:space="preserve"> и консултиране</w:t>
      </w:r>
    </w:p>
    <w:p w14:paraId="6286373A" w14:textId="77777777" w:rsidR="00F47968" w:rsidRDefault="00F47968" w:rsidP="00F47968">
      <w:pPr>
        <w:ind w:left="709"/>
      </w:pPr>
      <w:r>
        <w:t>•</w:t>
      </w:r>
      <w:r>
        <w:tab/>
        <w:t>Съблюдаване и прилагане на политиката на дружеството за сигурност</w:t>
      </w:r>
    </w:p>
    <w:p w14:paraId="52018A67" w14:textId="77777777" w:rsidR="00F47968" w:rsidRDefault="00F47968" w:rsidP="00F47968">
      <w:pPr>
        <w:ind w:left="709"/>
      </w:pPr>
      <w:r>
        <w:t>•</w:t>
      </w:r>
      <w:r>
        <w:tab/>
        <w:t xml:space="preserve">Документиране на процесите за промени, инциденти, </w:t>
      </w:r>
      <w:proofErr w:type="spellStart"/>
      <w:r>
        <w:t>hot</w:t>
      </w:r>
      <w:proofErr w:type="spellEnd"/>
      <w:r>
        <w:t xml:space="preserve"> </w:t>
      </w:r>
      <w:proofErr w:type="spellStart"/>
      <w:r>
        <w:t>line</w:t>
      </w:r>
      <w:proofErr w:type="spellEnd"/>
      <w:r>
        <w:t>, статистика и анализи</w:t>
      </w:r>
    </w:p>
    <w:p w14:paraId="2027858F" w14:textId="77777777" w:rsidR="00F47968" w:rsidRDefault="00F47968" w:rsidP="00F47968">
      <w:pPr>
        <w:ind w:left="709"/>
      </w:pPr>
      <w:r>
        <w:t>•</w:t>
      </w:r>
      <w:r>
        <w:tab/>
        <w:t>Съдействие в осъществяването на дейности за реализация на проекти и работни задачи, свързани с изработването на концепции в различни проектни фази – в предпроектната подготовка, в реализацията на конкретен проект и в последващо имплементиране на завършени (реализирани) с проекта продукти, процеси и др.</w:t>
      </w:r>
    </w:p>
    <w:p w14:paraId="273B8742" w14:textId="77777777" w:rsidR="00F47968" w:rsidRDefault="00F47968" w:rsidP="00F47968">
      <w:pPr>
        <w:ind w:left="709"/>
      </w:pPr>
      <w:r>
        <w:t>•</w:t>
      </w:r>
      <w:r>
        <w:tab/>
        <w:t>Разработване и администрация на интерфейси за обмен на информация между различни бизнес системи и доставчици</w:t>
      </w:r>
    </w:p>
    <w:p w14:paraId="31C0AD51" w14:textId="77777777" w:rsidR="00F47968" w:rsidRDefault="00F47968" w:rsidP="00F47968">
      <w:pPr>
        <w:ind w:left="709"/>
      </w:pPr>
      <w:r>
        <w:t>•</w:t>
      </w:r>
      <w:r>
        <w:tab/>
        <w:t>Разработване на приложения спрямо задания на дружеството</w:t>
      </w:r>
    </w:p>
    <w:p w14:paraId="47C5DB0F" w14:textId="77777777" w:rsidR="00F47968" w:rsidRDefault="00F47968" w:rsidP="00F47968">
      <w:pPr>
        <w:ind w:left="709"/>
      </w:pPr>
      <w:r>
        <w:t>•</w:t>
      </w:r>
      <w:r>
        <w:tab/>
        <w:t>Професионално консултиране на дружеството при работа с външни доставчици на ИТК услуги</w:t>
      </w:r>
    </w:p>
    <w:p w14:paraId="0C71B81A" w14:textId="77777777" w:rsidR="00F47968" w:rsidRDefault="00F47968" w:rsidP="00F47968">
      <w:pPr>
        <w:ind w:left="709"/>
      </w:pPr>
      <w:r>
        <w:t>•</w:t>
      </w:r>
      <w:r>
        <w:tab/>
        <w:t>Администриране и координация на дейности, свързани с изграждането, функционирането и поддръжката на мрежовата инфраструктура (LAN, WAN)</w:t>
      </w:r>
    </w:p>
    <w:p w14:paraId="01B07545" w14:textId="77777777" w:rsidR="00F47968" w:rsidRDefault="00F47968" w:rsidP="00F47968">
      <w:pPr>
        <w:ind w:left="709"/>
      </w:pPr>
      <w:r>
        <w:t>•</w:t>
      </w:r>
      <w:r>
        <w:tab/>
        <w:t>Администрация и поддръжка при осигуряването на сървърни услуги</w:t>
      </w:r>
    </w:p>
    <w:p w14:paraId="698F97E7" w14:textId="77777777" w:rsidR="00F47968" w:rsidRDefault="00F47968" w:rsidP="00F47968">
      <w:pPr>
        <w:ind w:left="709"/>
      </w:pPr>
      <w:r>
        <w:t>•</w:t>
      </w:r>
      <w:r>
        <w:tab/>
        <w:t>Helpdesk услуга – цялостно съдействие в поддръжката на периферията за всяко работно място (</w:t>
      </w:r>
      <w:proofErr w:type="spellStart"/>
      <w:r>
        <w:t>PC’s</w:t>
      </w:r>
      <w:proofErr w:type="spellEnd"/>
      <w:r>
        <w:t xml:space="preserve"> и </w:t>
      </w:r>
      <w:proofErr w:type="spellStart"/>
      <w:r>
        <w:t>Notebooks</w:t>
      </w:r>
      <w:proofErr w:type="spellEnd"/>
      <w:r>
        <w:t xml:space="preserve">, GSM, фиксирана телефонна услуга и факс, принтери, </w:t>
      </w:r>
      <w:proofErr w:type="spellStart"/>
      <w:r>
        <w:t>Blackberry</w:t>
      </w:r>
      <w:proofErr w:type="spellEnd"/>
      <w:r>
        <w:t>, HHU устройства и др.)</w:t>
      </w:r>
    </w:p>
    <w:p w14:paraId="44C36FD5" w14:textId="77777777" w:rsidR="00F47968" w:rsidRDefault="00F47968" w:rsidP="00F47968">
      <w:pPr>
        <w:ind w:left="709"/>
      </w:pPr>
      <w:r>
        <w:lastRenderedPageBreak/>
        <w:t>•</w:t>
      </w:r>
      <w:r>
        <w:tab/>
        <w:t>Съдействие в извършването на дейности, свързани с изпълнението на лицензионни задължения по отношение на ИТК средата за дружеството, както и в изработването и прилагането на концепции, свързани с развитието на ИТК средата</w:t>
      </w:r>
    </w:p>
    <w:p w14:paraId="18A612FA" w14:textId="3EF49210" w:rsidR="00F47968" w:rsidRPr="009E731E" w:rsidRDefault="00F47968" w:rsidP="00F47968">
      <w:pPr>
        <w:ind w:left="709"/>
      </w:pPr>
      <w:r w:rsidRPr="009E731E">
        <w:t xml:space="preserve">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 </w:t>
      </w:r>
    </w:p>
    <w:p w14:paraId="3632B712" w14:textId="77777777" w:rsidR="00F47968" w:rsidRDefault="00F47968" w:rsidP="00F47968">
      <w:pPr>
        <w:ind w:left="709"/>
      </w:pPr>
      <w:r>
        <w:t>Човешки ресурси</w:t>
      </w:r>
    </w:p>
    <w:p w14:paraId="52A5F47F" w14:textId="77777777" w:rsidR="00F47968" w:rsidRDefault="00F47968" w:rsidP="00F47968">
      <w:pPr>
        <w:ind w:left="709"/>
      </w:pPr>
      <w:r>
        <w:t>Планираните услуги за покупки и склад се основават на сключен договор за услуги между ЕВН Център за услуги ЕООД и ЕВН България Топлофикация ЕАД от 01.10.2011г.,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човешките ресурси включват изброените по-долу дейности:</w:t>
      </w:r>
    </w:p>
    <w:p w14:paraId="43A18680" w14:textId="77777777" w:rsidR="00F47968" w:rsidRDefault="00F47968" w:rsidP="00F47968">
      <w:pPr>
        <w:ind w:left="709"/>
      </w:pPr>
      <w:r>
        <w:t>•</w:t>
      </w:r>
      <w:r>
        <w:tab/>
        <w:t>Оперативно планиране на персонала</w:t>
      </w:r>
    </w:p>
    <w:p w14:paraId="26B1B897" w14:textId="77777777" w:rsidR="00F47968" w:rsidRDefault="00F47968" w:rsidP="00F47968">
      <w:pPr>
        <w:ind w:left="709"/>
      </w:pPr>
      <w:r>
        <w:t>•</w:t>
      </w:r>
      <w:r>
        <w:tab/>
        <w:t>Подбор на персонал</w:t>
      </w:r>
    </w:p>
    <w:p w14:paraId="0B033567" w14:textId="77777777" w:rsidR="00F47968" w:rsidRDefault="00F47968" w:rsidP="00F47968">
      <w:pPr>
        <w:ind w:left="709"/>
      </w:pPr>
      <w:r>
        <w:t>•</w:t>
      </w:r>
      <w:r>
        <w:tab/>
        <w:t>Организация и провеждане на обучения на сътрудници</w:t>
      </w:r>
    </w:p>
    <w:p w14:paraId="15245AE8" w14:textId="77777777" w:rsidR="00F47968" w:rsidRDefault="00F47968" w:rsidP="00F47968">
      <w:pPr>
        <w:ind w:left="709"/>
      </w:pPr>
      <w:r>
        <w:t>•</w:t>
      </w:r>
      <w:r>
        <w:tab/>
        <w:t xml:space="preserve">Подготовка на всички документи, свързани с администрирането на персонала и трудовите отношения </w:t>
      </w:r>
    </w:p>
    <w:p w14:paraId="2EC02962" w14:textId="77777777" w:rsidR="00F47968" w:rsidRDefault="00F47968" w:rsidP="00F47968">
      <w:pPr>
        <w:ind w:left="709"/>
      </w:pPr>
      <w:r>
        <w:t>•</w:t>
      </w:r>
      <w:r>
        <w:tab/>
        <w:t>Изготвяне на документи за разплащане на възнаграждения, заплати и пенсии на персонала</w:t>
      </w:r>
    </w:p>
    <w:p w14:paraId="1D0069CC" w14:textId="77777777" w:rsidR="00F47968" w:rsidRDefault="00F47968" w:rsidP="00F47968">
      <w:pPr>
        <w:ind w:left="709"/>
      </w:pPr>
      <w:r>
        <w:t>•</w:t>
      </w:r>
      <w:r>
        <w:tab/>
        <w:t>Изготвяне и водене на статистика за персонала</w:t>
      </w:r>
    </w:p>
    <w:p w14:paraId="33E77EBE" w14:textId="77777777" w:rsidR="00F47968" w:rsidRDefault="00F47968" w:rsidP="00F47968">
      <w:pPr>
        <w:ind w:left="709"/>
      </w:pPr>
      <w:r>
        <w:t>•</w:t>
      </w:r>
      <w:r>
        <w:tab/>
        <w:t>Идентификация на нуждите, изготвяне на планове и програми за обучение</w:t>
      </w:r>
    </w:p>
    <w:p w14:paraId="52F60B60" w14:textId="77777777" w:rsidR="00F47968" w:rsidRDefault="00F47968" w:rsidP="00F47968">
      <w:pPr>
        <w:ind w:left="709"/>
      </w:pPr>
      <w:r>
        <w:t>•</w:t>
      </w:r>
      <w:r>
        <w:tab/>
        <w:t>Преговори с организации, представляващи и защитаващи интересите на работници и служители</w:t>
      </w:r>
    </w:p>
    <w:p w14:paraId="441F3F3C" w14:textId="1F41D8B0" w:rsidR="00F47968" w:rsidRPr="009E731E" w:rsidRDefault="00F47968" w:rsidP="00F47968">
      <w:pPr>
        <w:ind w:left="709"/>
      </w:pPr>
      <w:r w:rsidRPr="009E731E">
        <w:t>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w:t>
      </w:r>
      <w:r w:rsidR="009E731E" w:rsidRPr="009E731E">
        <w:t>.</w:t>
      </w:r>
    </w:p>
    <w:p w14:paraId="7DC9C712" w14:textId="77777777" w:rsidR="00F47968" w:rsidRPr="005E3D57" w:rsidRDefault="00F47968" w:rsidP="00F47968">
      <w:pPr>
        <w:ind w:left="709"/>
        <w:rPr>
          <w:b/>
          <w:bCs/>
        </w:rPr>
      </w:pPr>
      <w:r w:rsidRPr="005E3D57">
        <w:rPr>
          <w:b/>
          <w:bCs/>
        </w:rPr>
        <w:t>Фактуриране</w:t>
      </w:r>
    </w:p>
    <w:p w14:paraId="40E6FB6B" w14:textId="77777777" w:rsidR="00F47968" w:rsidRDefault="00F47968" w:rsidP="00F47968">
      <w:pPr>
        <w:ind w:left="709"/>
      </w:pPr>
      <w:r>
        <w:t>Планираните услуги по дейност фактуриране се основават на сключен договор за административни услуги между ЕВН Център за услуги ЕООД и ЕВН България Топлофикация ЕАД от 01.10.2011г., съгласно който ЕВН Център за услуги ЕООД чрез своята кадрова и ресурсна обезпеченост предоставя услуги, чийто обхват и съдържание относно дейността фактуриране включват съдействие при/в:</w:t>
      </w:r>
    </w:p>
    <w:p w14:paraId="784817B4" w14:textId="77777777" w:rsidR="00F47968" w:rsidRDefault="00F47968" w:rsidP="00F47968">
      <w:pPr>
        <w:ind w:left="709"/>
      </w:pPr>
      <w:r>
        <w:t>•</w:t>
      </w:r>
      <w:r>
        <w:tab/>
        <w:t>Управление на база данни и фактуриране,</w:t>
      </w:r>
    </w:p>
    <w:p w14:paraId="00C23A72" w14:textId="77777777" w:rsidR="00F47968" w:rsidRDefault="00F47968" w:rsidP="00F47968">
      <w:pPr>
        <w:ind w:left="709"/>
      </w:pPr>
      <w:r>
        <w:t>•</w:t>
      </w:r>
      <w:r>
        <w:tab/>
        <w:t>въвеждане и промяна на база данни</w:t>
      </w:r>
    </w:p>
    <w:p w14:paraId="3648EA2D" w14:textId="77777777" w:rsidR="00F47968" w:rsidRDefault="00F47968" w:rsidP="00F47968">
      <w:pPr>
        <w:ind w:left="709"/>
      </w:pPr>
      <w:r>
        <w:t>•</w:t>
      </w:r>
      <w:r>
        <w:tab/>
        <w:t>фактуриране и проверка на качеството</w:t>
      </w:r>
    </w:p>
    <w:p w14:paraId="264C941F" w14:textId="77777777" w:rsidR="00F47968" w:rsidRDefault="00F47968" w:rsidP="00F47968">
      <w:pPr>
        <w:ind w:left="709"/>
      </w:pPr>
      <w:r>
        <w:t>•</w:t>
      </w:r>
      <w:r>
        <w:tab/>
        <w:t>коригиране на всички фактури</w:t>
      </w:r>
    </w:p>
    <w:p w14:paraId="62DB2B0C" w14:textId="77777777" w:rsidR="00F47968" w:rsidRDefault="00F47968" w:rsidP="00F47968">
      <w:pPr>
        <w:ind w:left="709"/>
      </w:pPr>
      <w:r>
        <w:t>•</w:t>
      </w:r>
      <w:r>
        <w:tab/>
        <w:t>управление на дейностите по процесите</w:t>
      </w:r>
    </w:p>
    <w:p w14:paraId="0D0F57A2" w14:textId="77777777" w:rsidR="00F47968" w:rsidRDefault="00F47968" w:rsidP="00F47968">
      <w:pPr>
        <w:ind w:left="709"/>
      </w:pPr>
      <w:r>
        <w:t>•</w:t>
      </w:r>
      <w:r>
        <w:tab/>
        <w:t xml:space="preserve">създаване на </w:t>
      </w:r>
      <w:proofErr w:type="spellStart"/>
      <w:r>
        <w:t>продукционни</w:t>
      </w:r>
      <w:proofErr w:type="spellEnd"/>
      <w:r>
        <w:t xml:space="preserve"> планове</w:t>
      </w:r>
    </w:p>
    <w:p w14:paraId="20A1A763" w14:textId="77777777" w:rsidR="00F47968" w:rsidRDefault="00F47968" w:rsidP="00F47968">
      <w:pPr>
        <w:ind w:left="709"/>
      </w:pPr>
      <w:r>
        <w:t>•</w:t>
      </w:r>
      <w:r>
        <w:tab/>
        <w:t>поддръжка и актуализация на формулярите</w:t>
      </w:r>
    </w:p>
    <w:p w14:paraId="749F4A04" w14:textId="77777777" w:rsidR="00F47968" w:rsidRDefault="00F47968" w:rsidP="00F47968">
      <w:pPr>
        <w:ind w:left="709"/>
      </w:pPr>
      <w:r>
        <w:t>•</w:t>
      </w:r>
      <w:r>
        <w:tab/>
        <w:t>въвеждане, обработка и изпращане на фактури, електронни фактури, SMS и e-</w:t>
      </w:r>
      <w:proofErr w:type="spellStart"/>
      <w:r>
        <w:t>mail</w:t>
      </w:r>
      <w:proofErr w:type="spellEnd"/>
    </w:p>
    <w:p w14:paraId="1DE77F7B" w14:textId="77777777" w:rsidR="00F47968" w:rsidRDefault="00F47968" w:rsidP="00F47968">
      <w:pPr>
        <w:ind w:left="709"/>
      </w:pPr>
      <w:r>
        <w:t>•</w:t>
      </w:r>
      <w:r>
        <w:tab/>
        <w:t>координиране и поддръжка на HELPDESK</w:t>
      </w:r>
    </w:p>
    <w:p w14:paraId="55124742" w14:textId="77777777" w:rsidR="00F47968" w:rsidRDefault="00F47968" w:rsidP="00F47968">
      <w:pPr>
        <w:ind w:left="709"/>
      </w:pPr>
      <w:r>
        <w:t>•</w:t>
      </w:r>
      <w:r>
        <w:tab/>
        <w:t>Управление на длъжници:</w:t>
      </w:r>
    </w:p>
    <w:p w14:paraId="394483F2" w14:textId="77777777" w:rsidR="00F47968" w:rsidRDefault="00F47968" w:rsidP="00F47968">
      <w:pPr>
        <w:ind w:left="709"/>
      </w:pPr>
      <w:r>
        <w:t>•</w:t>
      </w:r>
      <w:r>
        <w:tab/>
        <w:t>банкови плащания, Директен дебит</w:t>
      </w:r>
    </w:p>
    <w:p w14:paraId="1486B402" w14:textId="77777777" w:rsidR="00F47968" w:rsidRDefault="00F47968" w:rsidP="00F47968">
      <w:pPr>
        <w:ind w:left="709"/>
      </w:pPr>
      <w:r>
        <w:t>•</w:t>
      </w:r>
      <w:r>
        <w:tab/>
        <w:t>поддържане на контакт с външни контрагенти</w:t>
      </w:r>
    </w:p>
    <w:p w14:paraId="0EB46315" w14:textId="77777777" w:rsidR="00F47968" w:rsidRDefault="00F47968" w:rsidP="00F47968">
      <w:pPr>
        <w:ind w:left="709"/>
      </w:pPr>
      <w:r>
        <w:t>•</w:t>
      </w:r>
      <w:r>
        <w:tab/>
        <w:t>осчетоводяване на касиерски вноски</w:t>
      </w:r>
    </w:p>
    <w:p w14:paraId="3949D281" w14:textId="77777777" w:rsidR="00F47968" w:rsidRDefault="00F47968" w:rsidP="00F47968">
      <w:pPr>
        <w:ind w:left="709"/>
      </w:pPr>
      <w:r>
        <w:t>•</w:t>
      </w:r>
      <w:r>
        <w:tab/>
        <w:t>корекция на плащания;</w:t>
      </w:r>
    </w:p>
    <w:p w14:paraId="601D6957" w14:textId="77777777" w:rsidR="00F47968" w:rsidRDefault="00F47968" w:rsidP="00F47968">
      <w:pPr>
        <w:ind w:left="709"/>
      </w:pPr>
      <w:r>
        <w:t>•</w:t>
      </w:r>
      <w:r>
        <w:tab/>
        <w:t>управление на процесите за събиране</w:t>
      </w:r>
    </w:p>
    <w:p w14:paraId="635F1D93" w14:textId="77777777" w:rsidR="00F47968" w:rsidRDefault="00F47968" w:rsidP="00F47968">
      <w:pPr>
        <w:ind w:left="709"/>
      </w:pPr>
      <w:r>
        <w:t>•</w:t>
      </w:r>
      <w:r>
        <w:tab/>
        <w:t>управление на процеса по разсрочване</w:t>
      </w:r>
    </w:p>
    <w:p w14:paraId="52FE6A9D" w14:textId="77777777" w:rsidR="00F47968" w:rsidRDefault="00F47968" w:rsidP="00F47968">
      <w:pPr>
        <w:ind w:left="709"/>
      </w:pPr>
      <w:r>
        <w:t>•</w:t>
      </w:r>
      <w:r>
        <w:tab/>
        <w:t>Събиране на вземания</w:t>
      </w:r>
    </w:p>
    <w:p w14:paraId="054CFD8D" w14:textId="77777777" w:rsidR="00F47968" w:rsidRDefault="00F47968" w:rsidP="00F47968">
      <w:pPr>
        <w:ind w:left="709"/>
      </w:pPr>
      <w:r>
        <w:t>•</w:t>
      </w:r>
      <w:r>
        <w:tab/>
        <w:t>администрация на съдебни вземания</w:t>
      </w:r>
    </w:p>
    <w:p w14:paraId="75A7CF01" w14:textId="77777777" w:rsidR="00F47968" w:rsidRDefault="00F47968" w:rsidP="00F47968">
      <w:pPr>
        <w:ind w:left="709"/>
      </w:pPr>
      <w:r>
        <w:t>•</w:t>
      </w:r>
      <w:r>
        <w:tab/>
        <w:t>анализ и контрол по процесите, свързани с осчетоводяване на плащания по граждански и изпълнителни дела, при спазване на установени правила</w:t>
      </w:r>
    </w:p>
    <w:p w14:paraId="41BD4FD3" w14:textId="77777777" w:rsidR="00F47968" w:rsidRDefault="00F47968" w:rsidP="00F47968">
      <w:pPr>
        <w:ind w:left="709"/>
      </w:pPr>
      <w:r>
        <w:t>•</w:t>
      </w:r>
      <w:r>
        <w:tab/>
        <w:t>контролиране и планиране на подготовката на документи за събиране на задълженията</w:t>
      </w:r>
    </w:p>
    <w:p w14:paraId="16AC323D" w14:textId="77777777" w:rsidR="00F47968" w:rsidRDefault="00F47968" w:rsidP="00F47968">
      <w:pPr>
        <w:ind w:left="709"/>
      </w:pPr>
      <w:r>
        <w:t>•</w:t>
      </w:r>
      <w:r>
        <w:tab/>
        <w:t>изготвяне на отговори при запитвания</w:t>
      </w:r>
    </w:p>
    <w:p w14:paraId="671006CE" w14:textId="14FD6B2A" w:rsidR="00F47968" w:rsidRPr="009E731E" w:rsidRDefault="00F47968" w:rsidP="00F47968">
      <w:pPr>
        <w:ind w:left="709"/>
      </w:pPr>
      <w:r w:rsidRPr="009E731E">
        <w:t xml:space="preserve">Възнаграждението (цената) на услугите се определя по метода на „увеличената стойност“, в чиято стойност се включват всички преки и непреки разходи, необходими за извършване на конкретната услуга. </w:t>
      </w:r>
    </w:p>
    <w:p w14:paraId="6CE1F2F6" w14:textId="77777777" w:rsidR="00F47968" w:rsidRPr="005E3D57" w:rsidRDefault="00F47968" w:rsidP="00F47968">
      <w:pPr>
        <w:ind w:left="709"/>
        <w:rPr>
          <w:b/>
          <w:bCs/>
        </w:rPr>
      </w:pPr>
      <w:r w:rsidRPr="005E3D57">
        <w:rPr>
          <w:b/>
          <w:bCs/>
        </w:rPr>
        <w:t>Клиентско обслужване</w:t>
      </w:r>
    </w:p>
    <w:p w14:paraId="3332B750" w14:textId="77777777" w:rsidR="00F47968" w:rsidRDefault="00F47968" w:rsidP="00F47968">
      <w:pPr>
        <w:ind w:left="709"/>
      </w:pPr>
      <w:r>
        <w:lastRenderedPageBreak/>
        <w:t>Планираните услуги по дейност фактуриране се основават на сключен договор за административни услуги между ЕВН Център за услуги ЕООД и ЕВН България Топлофикация ЕАД от 01.10.2011г. , и сключен договор за услуги между ЕВН Център за услуги ЕООД и ЕВН България Топлофикация ЕАД от 01.10.2011г., съгласно които ЕВН Център за услуги ЕООД чрез своята кадрова и ресурсна обезпеченост предоставят услуги, чийто обхват и съдържание относно дейността фактуриране включват  съдействие при/в:</w:t>
      </w:r>
    </w:p>
    <w:p w14:paraId="3BAF39ED" w14:textId="77777777" w:rsidR="00F47968" w:rsidRDefault="00F47968" w:rsidP="00F47968">
      <w:pPr>
        <w:ind w:left="709"/>
      </w:pPr>
      <w:r>
        <w:t>•</w:t>
      </w:r>
      <w:r>
        <w:tab/>
        <w:t>Обслужване на клиенти по телефон, писмено (e-</w:t>
      </w:r>
      <w:proofErr w:type="spellStart"/>
      <w:r>
        <w:t>mail</w:t>
      </w:r>
      <w:proofErr w:type="spellEnd"/>
      <w:r>
        <w:t>) и при личен контакт (клиентски запитвания и общи консултации)</w:t>
      </w:r>
    </w:p>
    <w:p w14:paraId="4C4E05F9" w14:textId="77777777" w:rsidR="00F47968" w:rsidRDefault="00F47968" w:rsidP="00F47968">
      <w:pPr>
        <w:ind w:left="709"/>
      </w:pPr>
      <w:r>
        <w:t>•</w:t>
      </w:r>
      <w:r>
        <w:tab/>
        <w:t>координация на сигнали при аварии</w:t>
      </w:r>
    </w:p>
    <w:p w14:paraId="6848093B" w14:textId="77777777" w:rsidR="00F47968" w:rsidRDefault="00F47968" w:rsidP="00F47968">
      <w:pPr>
        <w:ind w:left="709"/>
      </w:pPr>
      <w:r>
        <w:t>•</w:t>
      </w:r>
      <w:r>
        <w:tab/>
        <w:t>Управление на жалби – администриране, координиране и управление</w:t>
      </w:r>
    </w:p>
    <w:p w14:paraId="2E970C3A" w14:textId="77777777" w:rsidR="00F47968" w:rsidRDefault="00F47968" w:rsidP="00F47968">
      <w:pPr>
        <w:ind w:left="709"/>
      </w:pPr>
      <w:r>
        <w:t>•</w:t>
      </w:r>
      <w:r>
        <w:tab/>
        <w:t>Кампаниен мениджмънт</w:t>
      </w:r>
    </w:p>
    <w:p w14:paraId="73BCE735" w14:textId="77777777" w:rsidR="00F47968" w:rsidRDefault="00F47968" w:rsidP="00F47968">
      <w:pPr>
        <w:ind w:left="709"/>
      </w:pPr>
      <w:r>
        <w:t>•</w:t>
      </w:r>
      <w:r>
        <w:tab/>
        <w:t>Извършване на отчети и анализи на клиентските контакти</w:t>
      </w:r>
    </w:p>
    <w:p w14:paraId="30FEC9CD" w14:textId="77777777" w:rsidR="00F47968" w:rsidRDefault="00F47968" w:rsidP="00F47968">
      <w:pPr>
        <w:ind w:left="709"/>
      </w:pPr>
      <w:r>
        <w:t>•</w:t>
      </w:r>
      <w:r>
        <w:tab/>
        <w:t>услуги по подобрение на обслужването</w:t>
      </w:r>
    </w:p>
    <w:p w14:paraId="39908687" w14:textId="77777777" w:rsidR="00F47968" w:rsidRDefault="00F47968" w:rsidP="00F47968">
      <w:pPr>
        <w:ind w:left="709"/>
      </w:pPr>
      <w:r>
        <w:t>•</w:t>
      </w:r>
      <w:r>
        <w:tab/>
        <w:t>координиране на външен контрол</w:t>
      </w:r>
    </w:p>
    <w:p w14:paraId="7885C6B3" w14:textId="77777777" w:rsidR="00F47968" w:rsidRDefault="00F47968" w:rsidP="00F47968">
      <w:pPr>
        <w:ind w:left="709"/>
      </w:pPr>
      <w:r>
        <w:t>•</w:t>
      </w:r>
      <w:r>
        <w:tab/>
        <w:t>Планиране Енергийна ефективност</w:t>
      </w:r>
    </w:p>
    <w:p w14:paraId="3F24C32E" w14:textId="77777777" w:rsidR="00F47968" w:rsidRDefault="00F47968" w:rsidP="00F47968">
      <w:pPr>
        <w:ind w:left="709"/>
      </w:pPr>
      <w:r>
        <w:t>•</w:t>
      </w:r>
      <w:r>
        <w:tab/>
        <w:t>Организиране специализирани изложения</w:t>
      </w:r>
    </w:p>
    <w:p w14:paraId="006082D2" w14:textId="77777777" w:rsidR="00F47968" w:rsidRDefault="00F47968" w:rsidP="00F47968">
      <w:pPr>
        <w:ind w:left="709"/>
      </w:pPr>
      <w:r>
        <w:t>•</w:t>
      </w:r>
      <w:r>
        <w:tab/>
        <w:t>Връзки с клиентски организации</w:t>
      </w:r>
    </w:p>
    <w:p w14:paraId="1187743B" w14:textId="3C22900F" w:rsidR="00F47968" w:rsidRPr="009E731E" w:rsidRDefault="00F47968" w:rsidP="00F47968">
      <w:pPr>
        <w:ind w:left="709"/>
      </w:pPr>
      <w:r w:rsidRPr="009E731E">
        <w:t xml:space="preserve">Възнаграждението (цената) на услугите се определя по метода на „увеличената стойност“, в чиято стойност се включват всички преки и непреки разходи, необходими за извършване на конкретната услуга. </w:t>
      </w:r>
    </w:p>
    <w:p w14:paraId="1482A8EB" w14:textId="77777777" w:rsidR="00F47968" w:rsidRPr="005E3D57" w:rsidRDefault="00F47968" w:rsidP="00F47968">
      <w:pPr>
        <w:ind w:left="709"/>
        <w:rPr>
          <w:b/>
          <w:bCs/>
        </w:rPr>
      </w:pPr>
      <w:r w:rsidRPr="005E3D57">
        <w:rPr>
          <w:b/>
          <w:bCs/>
        </w:rPr>
        <w:t>Технически услуги</w:t>
      </w:r>
    </w:p>
    <w:p w14:paraId="73970B07" w14:textId="77777777" w:rsidR="00F47968" w:rsidRDefault="00F47968" w:rsidP="00F47968">
      <w:pPr>
        <w:ind w:left="709"/>
      </w:pPr>
      <w:r>
        <w:t>Посочената сума  за технически услуги е базирана на прогнозни данни, формирани в резултат на  извършен детайлен анализ в процеса на цялостното планиране дейността на дружеството. Планираните технически услуги се основават на сключен договор между  ЕВН България Електроразпределение EАД и ЕВН България Топлофикация ЕАД от 01.10.2011г. и сключен договор за услуги между ЕВН Център за услуги ЕООД и ЕВН България Топлофикация ЕАД от 01.10.2011г. , съгласно които ЕВН България Електроразпределение ЕАД, и ЕВН Център за услуги ЕООД чрез своята кадрова и ресурсна обезпеченост предоставят услуги, чийто обхват и съдържание относно дейността фактуриране включват  съдействие при/в:</w:t>
      </w:r>
    </w:p>
    <w:p w14:paraId="048EFEC5" w14:textId="77777777" w:rsidR="00F47968" w:rsidRDefault="00F47968" w:rsidP="00F47968">
      <w:pPr>
        <w:ind w:left="709"/>
      </w:pPr>
      <w:r>
        <w:t>Услугите, предоставяни от ЕВН България Електроразпределение  EАД се класифицират в следните видове дейности:</w:t>
      </w:r>
    </w:p>
    <w:p w14:paraId="7CD06E8E" w14:textId="77777777" w:rsidR="00F47968" w:rsidRDefault="00F47968" w:rsidP="00F47968">
      <w:pPr>
        <w:ind w:left="709"/>
      </w:pPr>
      <w:r>
        <w:t>•</w:t>
      </w:r>
      <w:r>
        <w:tab/>
        <w:t>Безопасност на труда</w:t>
      </w:r>
    </w:p>
    <w:p w14:paraId="632E371E" w14:textId="77777777" w:rsidR="00F47968" w:rsidRDefault="00F47968" w:rsidP="00F47968">
      <w:pPr>
        <w:ind w:left="709"/>
      </w:pPr>
      <w:r>
        <w:t>-</w:t>
      </w:r>
      <w:r>
        <w:tab/>
        <w:t>провеждане на периодични изпити по безопасност на труда</w:t>
      </w:r>
    </w:p>
    <w:p w14:paraId="7F056BB6" w14:textId="77777777" w:rsidR="00F47968" w:rsidRDefault="00F47968" w:rsidP="00F47968">
      <w:pPr>
        <w:ind w:left="709"/>
      </w:pPr>
      <w:r>
        <w:t>-</w:t>
      </w:r>
      <w:r>
        <w:tab/>
        <w:t>провеждане на обучения за работа под напрежение и други, свързани с безопасността на труда</w:t>
      </w:r>
    </w:p>
    <w:p w14:paraId="0E0221F3" w14:textId="77777777" w:rsidR="00F47968" w:rsidRDefault="00F47968" w:rsidP="00F47968">
      <w:pPr>
        <w:ind w:left="709"/>
      </w:pPr>
      <w:r>
        <w:t>-</w:t>
      </w:r>
      <w:r>
        <w:tab/>
        <w:t>Съвместна работа със Служба трудова медицина във връзка с лични предпазни средства, проверка на критериите за безопасност на труда</w:t>
      </w:r>
    </w:p>
    <w:p w14:paraId="02DD326F" w14:textId="77777777" w:rsidR="00F47968" w:rsidRDefault="00F47968" w:rsidP="00F47968">
      <w:pPr>
        <w:ind w:left="709"/>
      </w:pPr>
      <w:r>
        <w:t>-</w:t>
      </w:r>
      <w:r>
        <w:tab/>
        <w:t>Заключващи системи - организация, одобрение и контрол</w:t>
      </w:r>
    </w:p>
    <w:p w14:paraId="7AE486EA" w14:textId="77777777" w:rsidR="00F47968" w:rsidRDefault="00F47968" w:rsidP="00F47968">
      <w:pPr>
        <w:ind w:left="709"/>
      </w:pPr>
      <w:r>
        <w:t>•</w:t>
      </w:r>
      <w:r>
        <w:tab/>
        <w:t>Услуги по управление на измервателните данни</w:t>
      </w:r>
    </w:p>
    <w:p w14:paraId="2C18C0DD" w14:textId="77777777" w:rsidR="00F47968" w:rsidRDefault="00F47968" w:rsidP="00F47968">
      <w:pPr>
        <w:ind w:left="709"/>
      </w:pPr>
      <w:r>
        <w:t>-</w:t>
      </w:r>
      <w:r>
        <w:tab/>
        <w:t>управление на измервателните данни</w:t>
      </w:r>
    </w:p>
    <w:p w14:paraId="4CABA072" w14:textId="77777777" w:rsidR="00F47968" w:rsidRDefault="00F47968" w:rsidP="00F47968">
      <w:pPr>
        <w:ind w:left="709"/>
      </w:pPr>
      <w:r>
        <w:t>-</w:t>
      </w:r>
      <w:r>
        <w:tab/>
        <w:t>осъществяване на стандартизация, снабдяване, контрол и следене качеството на измервателните уреди</w:t>
      </w:r>
    </w:p>
    <w:p w14:paraId="6F371E29" w14:textId="77777777" w:rsidR="00F47968" w:rsidRDefault="00F47968" w:rsidP="00F47968">
      <w:pPr>
        <w:ind w:left="709"/>
      </w:pPr>
      <w:r>
        <w:t>-</w:t>
      </w:r>
      <w:r>
        <w:tab/>
        <w:t xml:space="preserve">изготвяне на директиви за </w:t>
      </w:r>
      <w:proofErr w:type="spellStart"/>
      <w:r>
        <w:t>изм.уреди</w:t>
      </w:r>
      <w:proofErr w:type="spellEnd"/>
    </w:p>
    <w:p w14:paraId="308D088D" w14:textId="77777777" w:rsidR="00F47968" w:rsidRDefault="00F47968" w:rsidP="00F47968">
      <w:pPr>
        <w:ind w:left="709"/>
      </w:pPr>
      <w:r>
        <w:t>-</w:t>
      </w:r>
      <w:r>
        <w:tab/>
        <w:t>планиране, пускане в експлоатация уреди</w:t>
      </w:r>
    </w:p>
    <w:p w14:paraId="2D8DD43A" w14:textId="77777777" w:rsidR="00F47968" w:rsidRDefault="00F47968" w:rsidP="00F47968">
      <w:pPr>
        <w:ind w:left="709"/>
      </w:pPr>
      <w:r>
        <w:t>-</w:t>
      </w:r>
      <w:r>
        <w:tab/>
        <w:t>управление данните от измервателни уреди</w:t>
      </w:r>
    </w:p>
    <w:p w14:paraId="35138818" w14:textId="77777777" w:rsidR="00F47968" w:rsidRDefault="00F47968" w:rsidP="00F47968">
      <w:pPr>
        <w:ind w:left="709"/>
      </w:pPr>
      <w:r>
        <w:t>-</w:t>
      </w:r>
      <w:r>
        <w:tab/>
        <w:t>справки за измервателни уреди</w:t>
      </w:r>
    </w:p>
    <w:p w14:paraId="4958BE16" w14:textId="77777777" w:rsidR="00F47968" w:rsidRDefault="00F47968" w:rsidP="00F47968">
      <w:pPr>
        <w:ind w:left="709"/>
      </w:pPr>
      <w:r>
        <w:t>•</w:t>
      </w:r>
      <w:r>
        <w:tab/>
        <w:t xml:space="preserve">Диспечерски услуги </w:t>
      </w:r>
    </w:p>
    <w:p w14:paraId="6C8122C3" w14:textId="77777777" w:rsidR="00F47968" w:rsidRDefault="00F47968" w:rsidP="00F47968">
      <w:pPr>
        <w:ind w:left="709"/>
      </w:pPr>
      <w:r>
        <w:t>-</w:t>
      </w:r>
      <w:r>
        <w:tab/>
        <w:t>съдействие при управление на топлопреносната мрежа</w:t>
      </w:r>
    </w:p>
    <w:p w14:paraId="311F8BB3" w14:textId="77777777" w:rsidR="00F47968" w:rsidRDefault="00F47968" w:rsidP="00F47968">
      <w:pPr>
        <w:ind w:left="709"/>
      </w:pPr>
      <w:r>
        <w:t>-</w:t>
      </w:r>
      <w:r>
        <w:tab/>
        <w:t>определяне на режимните условия при топлопреносната мрежа</w:t>
      </w:r>
    </w:p>
    <w:p w14:paraId="223F2B6B" w14:textId="77777777" w:rsidR="00F47968" w:rsidRDefault="00F47968" w:rsidP="00F47968">
      <w:pPr>
        <w:ind w:left="709"/>
      </w:pPr>
      <w:r>
        <w:t>-</w:t>
      </w:r>
      <w:r>
        <w:tab/>
        <w:t>указанията за експлоатация на топлопреносната мрежа</w:t>
      </w:r>
    </w:p>
    <w:p w14:paraId="6C717618" w14:textId="77777777" w:rsidR="00F47968" w:rsidRDefault="00F47968" w:rsidP="00F47968">
      <w:pPr>
        <w:ind w:left="709"/>
      </w:pPr>
      <w:r>
        <w:t>-</w:t>
      </w:r>
      <w:r>
        <w:tab/>
        <w:t>съгласуване с големи клиенти</w:t>
      </w:r>
    </w:p>
    <w:p w14:paraId="57CC68D5" w14:textId="77777777" w:rsidR="00F47968" w:rsidRDefault="00F47968" w:rsidP="00F47968">
      <w:pPr>
        <w:ind w:left="709"/>
      </w:pPr>
      <w:r>
        <w:t>-</w:t>
      </w:r>
      <w:r>
        <w:tab/>
        <w:t>непрекъснат контакт с ползватели на топлопреносната мрежа</w:t>
      </w:r>
    </w:p>
    <w:p w14:paraId="57DEA5CB" w14:textId="77777777" w:rsidR="00F47968" w:rsidRDefault="00F47968" w:rsidP="00F47968">
      <w:pPr>
        <w:ind w:left="709"/>
      </w:pPr>
      <w:r>
        <w:t>-</w:t>
      </w:r>
      <w:r>
        <w:tab/>
        <w:t>контрол и управление на обекти в SCADA</w:t>
      </w:r>
    </w:p>
    <w:p w14:paraId="138B449A" w14:textId="77777777" w:rsidR="00F47968" w:rsidRDefault="00F47968" w:rsidP="00F47968">
      <w:pPr>
        <w:ind w:left="709"/>
      </w:pPr>
      <w:r>
        <w:t>-</w:t>
      </w:r>
      <w:r>
        <w:tab/>
        <w:t>ликвидиране на нарушенията в топлопреносната мрежа</w:t>
      </w:r>
    </w:p>
    <w:p w14:paraId="60D371FA" w14:textId="6F5C991F" w:rsidR="00F47968" w:rsidRDefault="00F47968" w:rsidP="00F47968">
      <w:pPr>
        <w:ind w:left="709"/>
      </w:pPr>
      <w:r>
        <w:lastRenderedPageBreak/>
        <w:t>-</w:t>
      </w:r>
      <w:r>
        <w:tab/>
        <w:t>изготвяне документи</w:t>
      </w:r>
      <w:r w:rsidR="00EE58BA">
        <w:t xml:space="preserve"> КЕВР</w:t>
      </w:r>
      <w:r>
        <w:t xml:space="preserve"> и МИЕТ</w:t>
      </w:r>
    </w:p>
    <w:p w14:paraId="2AC88034" w14:textId="77777777" w:rsidR="00F47968" w:rsidRDefault="00F47968" w:rsidP="00F47968">
      <w:pPr>
        <w:ind w:left="709"/>
      </w:pPr>
      <w:r w:rsidRPr="00D31C88">
        <w:t xml:space="preserve">Методиката за ценообразуване включва систематиката за калкулация по метода на „ увеличената стойност", за прилагането на която се калкулира и съответно фактурира договорените по тези договори услуги с увеличена себестойност в размер на 5% (пет процента) от реалната стойност на услугата; В стойността на услугата (цената на услугата) се включват всички директни и индиректни разходи, необходими за извършването на конкретната услуга; </w:t>
      </w:r>
      <w:r>
        <w:t>Всички услуги описани в приложения по-горе се калкулират на база на отработени часове за всяка конкретна услуга.</w:t>
      </w:r>
    </w:p>
    <w:p w14:paraId="68EB1272" w14:textId="77777777" w:rsidR="00F47968" w:rsidRDefault="00F47968" w:rsidP="00F47968">
      <w:pPr>
        <w:ind w:left="709"/>
      </w:pPr>
      <w:r>
        <w:t xml:space="preserve">Услуги по договор за командироване на персонал </w:t>
      </w:r>
    </w:p>
    <w:p w14:paraId="1D2F8B2A" w14:textId="77777777" w:rsidR="00F47968" w:rsidRDefault="00F47968" w:rsidP="00F47968">
      <w:pPr>
        <w:ind w:left="709"/>
      </w:pPr>
      <w:r>
        <w:t xml:space="preserve">Планираните услуги, свързани с предоставяне на услуги от експертен персонал се основават на сключен договор за командироване на персонал ЕВН България Топлофикация ЕАД и ЕВН АГ Австрия от 01.01.2005г., съгласно които ЕВН АГ Австрия предоставя на Дружеството ни персонал, който приема инструкциите на Дружеството ни за периода на командироване и ние упражняване контрол върху извършената му работа на база определено работно място чрез осигурени необходими ресурси за предоставяне на услугите. </w:t>
      </w:r>
    </w:p>
    <w:p w14:paraId="43FA8560" w14:textId="77777777" w:rsidR="00F47968" w:rsidRDefault="00F47968" w:rsidP="00F47968">
      <w:pPr>
        <w:ind w:left="709"/>
      </w:pPr>
      <w:r>
        <w:t xml:space="preserve">Час от предоставения персонал от страна на ЕВН АГ Австрия действа в качеството си на управител, който изпълнява властнически функции в рамките на нашето българско дружество и съответно възлага и контролира цялата дейност. </w:t>
      </w:r>
    </w:p>
    <w:p w14:paraId="7CDB99C6" w14:textId="77777777" w:rsidR="00F47968" w:rsidRDefault="00F47968" w:rsidP="00F47968">
      <w:pPr>
        <w:ind w:left="709"/>
      </w:pPr>
      <w:r>
        <w:t xml:space="preserve">От данъчна гледна точка ЕВН България Топлофикация ЕАД се счита за работодател на полагащите труд австрийски физически лица, съгласно &amp; 1, т. 27 от ДР на ЗДДФЛ, а правоотношенията между страните се квалифицират като трудови по смисъла на &amp; 1, т.26, б. „з“ от ДР на ЗДДФЛ. Респективно облагането се извършва по общия ред на ЗДДФЛ. </w:t>
      </w:r>
    </w:p>
    <w:p w14:paraId="228C0EB1" w14:textId="0680645C" w:rsidR="00D064BA" w:rsidRPr="00D31C88" w:rsidRDefault="00F47968" w:rsidP="00F47968">
      <w:pPr>
        <w:ind w:left="709"/>
      </w:pPr>
      <w:r w:rsidRPr="00D31C88">
        <w:t>Възнаграждението (цената) на услугите се определя по метода „разходи плюс“, в чиято стойност се включват всички действителни разходи на персонала по време на периода на назначаването.</w:t>
      </w:r>
    </w:p>
    <w:p w14:paraId="02AA0B40" w14:textId="77777777" w:rsidR="00D064BA" w:rsidRPr="0057086A" w:rsidRDefault="00D064BA" w:rsidP="00D064BA">
      <w:pPr>
        <w:ind w:left="709"/>
      </w:pPr>
    </w:p>
    <w:tbl>
      <w:tblPr>
        <w:tblW w:w="4848" w:type="pct"/>
        <w:tblInd w:w="-152" w:type="dxa"/>
        <w:tblCellMar>
          <w:left w:w="70" w:type="dxa"/>
          <w:right w:w="70" w:type="dxa"/>
        </w:tblCellMar>
        <w:tblLook w:val="04A0" w:firstRow="1" w:lastRow="0" w:firstColumn="1" w:lastColumn="0" w:noHBand="0" w:noVBand="1"/>
      </w:tblPr>
      <w:tblGrid>
        <w:gridCol w:w="3845"/>
        <w:gridCol w:w="987"/>
        <w:gridCol w:w="1373"/>
        <w:gridCol w:w="1772"/>
        <w:gridCol w:w="1349"/>
      </w:tblGrid>
      <w:tr w:rsidR="00FA1D82" w:rsidRPr="0057086A" w14:paraId="7D9BB6C5" w14:textId="77777777" w:rsidTr="00307C53">
        <w:trPr>
          <w:trHeight w:val="478"/>
        </w:trPr>
        <w:tc>
          <w:tcPr>
            <w:tcW w:w="206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A1DCF0F" w14:textId="77777777" w:rsidR="00FA1D82" w:rsidRPr="0057086A" w:rsidRDefault="00FA1D82" w:rsidP="00FA1D82">
            <w:pPr>
              <w:spacing w:line="240" w:lineRule="auto"/>
              <w:jc w:val="center"/>
              <w:rPr>
                <w:rFonts w:eastAsia="Times New Roman" w:cs="Arial"/>
                <w:color w:val="000000"/>
                <w:spacing w:val="0"/>
                <w:sz w:val="20"/>
                <w:szCs w:val="20"/>
                <w:lang w:eastAsia="en-US"/>
              </w:rPr>
            </w:pPr>
            <w:r w:rsidRPr="0057086A">
              <w:rPr>
                <w:rFonts w:eastAsia="Times New Roman" w:cs="Arial"/>
                <w:color w:val="000000"/>
                <w:spacing w:val="0"/>
                <w:sz w:val="20"/>
                <w:szCs w:val="20"/>
                <w:lang w:eastAsia="en-US"/>
              </w:rPr>
              <w:t>НАИМЕНОВАНИЕ НА РАЗХОДА</w:t>
            </w:r>
          </w:p>
        </w:tc>
        <w:tc>
          <w:tcPr>
            <w:tcW w:w="529"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49D65C3" w14:textId="77777777" w:rsidR="00FA1D82" w:rsidRPr="0057086A" w:rsidRDefault="00FA1D82" w:rsidP="00FA1D82">
            <w:pPr>
              <w:spacing w:line="240" w:lineRule="auto"/>
              <w:jc w:val="center"/>
              <w:rPr>
                <w:rFonts w:eastAsia="Times New Roman" w:cs="Arial"/>
                <w:color w:val="000000"/>
                <w:spacing w:val="0"/>
                <w:sz w:val="20"/>
                <w:szCs w:val="20"/>
                <w:lang w:eastAsia="en-US"/>
              </w:rPr>
            </w:pPr>
            <w:r w:rsidRPr="0057086A">
              <w:rPr>
                <w:rFonts w:eastAsia="Times New Roman" w:cs="Arial"/>
                <w:color w:val="000000"/>
                <w:spacing w:val="0"/>
                <w:sz w:val="20"/>
                <w:szCs w:val="20"/>
                <w:lang w:eastAsia="en-US"/>
              </w:rPr>
              <w:t>МЯРКА</w:t>
            </w:r>
          </w:p>
        </w:tc>
        <w:tc>
          <w:tcPr>
            <w:tcW w:w="7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555D8AA" w14:textId="0BBD838E" w:rsidR="00FA1D82" w:rsidRPr="00971B91" w:rsidRDefault="00FA1D82" w:rsidP="00FA1D82">
            <w:pPr>
              <w:spacing w:line="240" w:lineRule="auto"/>
              <w:jc w:val="center"/>
              <w:rPr>
                <w:rFonts w:eastAsia="Times New Roman" w:cs="Arial"/>
                <w:color w:val="000000" w:themeColor="text1"/>
                <w:spacing w:val="0"/>
                <w:sz w:val="20"/>
                <w:szCs w:val="20"/>
                <w:lang w:eastAsia="en-US"/>
              </w:rPr>
            </w:pPr>
            <w:r w:rsidRPr="00971B91">
              <w:rPr>
                <w:rFonts w:eastAsia="Times New Roman" w:cs="Arial"/>
                <w:color w:val="000000" w:themeColor="text1"/>
                <w:spacing w:val="0"/>
                <w:sz w:val="20"/>
                <w:szCs w:val="20"/>
                <w:lang w:eastAsia="en-US"/>
              </w:rPr>
              <w:t>Отчет за базовата 2023 г.</w:t>
            </w:r>
          </w:p>
        </w:tc>
        <w:tc>
          <w:tcPr>
            <w:tcW w:w="9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6597AC" w14:textId="4442DFA4" w:rsidR="00FA1D82" w:rsidRPr="00971B91" w:rsidRDefault="00FA1D82" w:rsidP="00FA1D82">
            <w:pPr>
              <w:spacing w:line="240" w:lineRule="auto"/>
              <w:jc w:val="center"/>
              <w:rPr>
                <w:rFonts w:eastAsia="Times New Roman" w:cs="Arial"/>
                <w:color w:val="000000" w:themeColor="text1"/>
                <w:spacing w:val="0"/>
                <w:sz w:val="20"/>
                <w:szCs w:val="20"/>
                <w:lang w:eastAsia="en-US"/>
              </w:rPr>
            </w:pPr>
            <w:r w:rsidRPr="00971B91">
              <w:rPr>
                <w:rFonts w:eastAsia="Times New Roman" w:cs="Arial"/>
                <w:color w:val="000000" w:themeColor="text1"/>
                <w:spacing w:val="0"/>
                <w:sz w:val="20"/>
                <w:szCs w:val="20"/>
                <w:lang w:eastAsia="en-US"/>
              </w:rPr>
              <w:t>Прогноза в цени X</w:t>
            </w:r>
            <w:r w:rsidRPr="00971B91">
              <w:rPr>
                <w:rFonts w:eastAsia="Times New Roman" w:cs="Arial"/>
                <w:color w:val="000000" w:themeColor="text1"/>
                <w:spacing w:val="0"/>
                <w:sz w:val="20"/>
                <w:szCs w:val="20"/>
                <w:lang w:val="en-US" w:eastAsia="en-US"/>
              </w:rPr>
              <w:t>V</w:t>
            </w:r>
            <w:r w:rsidRPr="00971B91">
              <w:rPr>
                <w:rFonts w:eastAsia="Times New Roman" w:cs="Arial"/>
                <w:color w:val="000000" w:themeColor="text1"/>
                <w:spacing w:val="0"/>
                <w:sz w:val="20"/>
                <w:szCs w:val="20"/>
                <w:lang w:eastAsia="en-US"/>
              </w:rPr>
              <w:t>-ти РП   01.07.2024 г.</w:t>
            </w:r>
          </w:p>
        </w:tc>
        <w:tc>
          <w:tcPr>
            <w:tcW w:w="7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7877E0" w14:textId="2A919EF7" w:rsidR="00FA1D82" w:rsidRPr="00971B91" w:rsidRDefault="00FA1D82" w:rsidP="00FA1D82">
            <w:pPr>
              <w:spacing w:line="240" w:lineRule="auto"/>
              <w:jc w:val="center"/>
              <w:rPr>
                <w:rFonts w:eastAsia="Times New Roman" w:cs="Arial"/>
                <w:color w:val="000000" w:themeColor="text1"/>
                <w:spacing w:val="0"/>
                <w:sz w:val="20"/>
                <w:szCs w:val="20"/>
                <w:lang w:eastAsia="en-US"/>
              </w:rPr>
            </w:pPr>
            <w:r w:rsidRPr="00971B91">
              <w:rPr>
                <w:rFonts w:eastAsia="Times New Roman" w:cs="Arial"/>
                <w:color w:val="000000" w:themeColor="text1"/>
                <w:spacing w:val="0"/>
                <w:sz w:val="20"/>
                <w:szCs w:val="20"/>
                <w:lang w:eastAsia="en-US"/>
              </w:rPr>
              <w:t>Разлика          X</w:t>
            </w:r>
            <w:r w:rsidRPr="00971B91">
              <w:rPr>
                <w:rFonts w:eastAsia="Times New Roman" w:cs="Arial"/>
                <w:color w:val="000000" w:themeColor="text1"/>
                <w:spacing w:val="0"/>
                <w:sz w:val="20"/>
                <w:szCs w:val="20"/>
                <w:lang w:val="en-US" w:eastAsia="en-US"/>
              </w:rPr>
              <w:t>V</w:t>
            </w:r>
            <w:r w:rsidRPr="00971B91">
              <w:rPr>
                <w:rFonts w:eastAsia="Times New Roman" w:cs="Arial"/>
                <w:color w:val="000000" w:themeColor="text1"/>
                <w:spacing w:val="0"/>
                <w:sz w:val="20"/>
                <w:szCs w:val="20"/>
                <w:lang w:eastAsia="en-US"/>
              </w:rPr>
              <w:t xml:space="preserve"> РП – 2023 г.</w:t>
            </w:r>
          </w:p>
        </w:tc>
      </w:tr>
      <w:tr w:rsidR="00D064BA" w:rsidRPr="0057086A" w14:paraId="5D30AD1F" w14:textId="77777777" w:rsidTr="00307C53">
        <w:trPr>
          <w:trHeight w:val="525"/>
        </w:trPr>
        <w:tc>
          <w:tcPr>
            <w:tcW w:w="2061" w:type="pct"/>
            <w:vMerge/>
            <w:tcBorders>
              <w:top w:val="single" w:sz="8" w:space="0" w:color="auto"/>
              <w:left w:val="single" w:sz="8" w:space="0" w:color="auto"/>
              <w:bottom w:val="single" w:sz="8" w:space="0" w:color="000000"/>
              <w:right w:val="single" w:sz="8" w:space="0" w:color="auto"/>
            </w:tcBorders>
            <w:vAlign w:val="center"/>
            <w:hideMark/>
          </w:tcPr>
          <w:p w14:paraId="59BFA112" w14:textId="77777777" w:rsidR="00D064BA" w:rsidRPr="0057086A" w:rsidRDefault="00D064BA" w:rsidP="00307C53">
            <w:pPr>
              <w:spacing w:line="240" w:lineRule="auto"/>
              <w:jc w:val="center"/>
              <w:rPr>
                <w:rFonts w:eastAsia="Times New Roman" w:cs="Arial"/>
                <w:color w:val="000000"/>
                <w:spacing w:val="0"/>
                <w:sz w:val="20"/>
                <w:szCs w:val="20"/>
                <w:lang w:eastAsia="en-US"/>
              </w:rPr>
            </w:pPr>
          </w:p>
        </w:tc>
        <w:tc>
          <w:tcPr>
            <w:tcW w:w="529" w:type="pct"/>
            <w:vMerge/>
            <w:tcBorders>
              <w:top w:val="single" w:sz="8" w:space="0" w:color="auto"/>
              <w:left w:val="single" w:sz="8" w:space="0" w:color="auto"/>
              <w:bottom w:val="single" w:sz="8" w:space="0" w:color="000000"/>
              <w:right w:val="single" w:sz="8" w:space="0" w:color="auto"/>
            </w:tcBorders>
            <w:vAlign w:val="center"/>
            <w:hideMark/>
          </w:tcPr>
          <w:p w14:paraId="279312F9" w14:textId="77777777" w:rsidR="00D064BA" w:rsidRPr="0057086A" w:rsidRDefault="00D064BA" w:rsidP="00307C53">
            <w:pPr>
              <w:spacing w:line="240" w:lineRule="auto"/>
              <w:jc w:val="center"/>
              <w:rPr>
                <w:rFonts w:eastAsia="Times New Roman" w:cs="Arial"/>
                <w:color w:val="000000"/>
                <w:spacing w:val="0"/>
                <w:sz w:val="20"/>
                <w:szCs w:val="20"/>
                <w:lang w:eastAsia="en-US"/>
              </w:rPr>
            </w:pPr>
          </w:p>
        </w:tc>
        <w:tc>
          <w:tcPr>
            <w:tcW w:w="736" w:type="pct"/>
            <w:vMerge/>
            <w:tcBorders>
              <w:top w:val="single" w:sz="8" w:space="0" w:color="auto"/>
              <w:left w:val="single" w:sz="8" w:space="0" w:color="auto"/>
              <w:bottom w:val="single" w:sz="8" w:space="0" w:color="000000"/>
              <w:right w:val="single" w:sz="8" w:space="0" w:color="auto"/>
            </w:tcBorders>
            <w:vAlign w:val="center"/>
            <w:hideMark/>
          </w:tcPr>
          <w:p w14:paraId="504B8F5B" w14:textId="77777777" w:rsidR="00D064BA" w:rsidRPr="0057086A" w:rsidRDefault="00D064BA" w:rsidP="00307C53">
            <w:pPr>
              <w:spacing w:line="240" w:lineRule="auto"/>
              <w:jc w:val="center"/>
              <w:rPr>
                <w:rFonts w:eastAsia="Times New Roman" w:cs="Arial"/>
                <w:color w:val="000000"/>
                <w:spacing w:val="0"/>
                <w:sz w:val="20"/>
                <w:szCs w:val="20"/>
                <w:lang w:eastAsia="en-US"/>
              </w:rPr>
            </w:pPr>
          </w:p>
        </w:tc>
        <w:tc>
          <w:tcPr>
            <w:tcW w:w="950" w:type="pct"/>
            <w:vMerge/>
            <w:tcBorders>
              <w:top w:val="single" w:sz="8" w:space="0" w:color="auto"/>
              <w:left w:val="single" w:sz="8" w:space="0" w:color="auto"/>
              <w:bottom w:val="single" w:sz="8" w:space="0" w:color="000000"/>
              <w:right w:val="single" w:sz="8" w:space="0" w:color="auto"/>
            </w:tcBorders>
            <w:vAlign w:val="center"/>
            <w:hideMark/>
          </w:tcPr>
          <w:p w14:paraId="7DC77909" w14:textId="77777777" w:rsidR="00D064BA" w:rsidRPr="0057086A" w:rsidRDefault="00D064BA" w:rsidP="00307C53">
            <w:pPr>
              <w:spacing w:line="240" w:lineRule="auto"/>
              <w:jc w:val="center"/>
              <w:rPr>
                <w:rFonts w:eastAsia="Times New Roman" w:cs="Arial"/>
                <w:color w:val="000000"/>
                <w:spacing w:val="0"/>
                <w:sz w:val="20"/>
                <w:szCs w:val="20"/>
                <w:lang w:eastAsia="en-US"/>
              </w:rPr>
            </w:pPr>
          </w:p>
        </w:tc>
        <w:tc>
          <w:tcPr>
            <w:tcW w:w="723" w:type="pct"/>
            <w:vMerge/>
            <w:tcBorders>
              <w:top w:val="single" w:sz="8" w:space="0" w:color="auto"/>
              <w:left w:val="single" w:sz="8" w:space="0" w:color="auto"/>
              <w:bottom w:val="single" w:sz="8" w:space="0" w:color="000000"/>
              <w:right w:val="single" w:sz="8" w:space="0" w:color="auto"/>
            </w:tcBorders>
            <w:vAlign w:val="center"/>
            <w:hideMark/>
          </w:tcPr>
          <w:p w14:paraId="687B4C72" w14:textId="77777777" w:rsidR="00D064BA" w:rsidRPr="0057086A" w:rsidRDefault="00D064BA" w:rsidP="00307C53">
            <w:pPr>
              <w:spacing w:line="240" w:lineRule="auto"/>
              <w:jc w:val="center"/>
              <w:rPr>
                <w:rFonts w:eastAsia="Times New Roman" w:cs="Arial"/>
                <w:color w:val="000000"/>
                <w:spacing w:val="0"/>
                <w:sz w:val="20"/>
                <w:szCs w:val="20"/>
                <w:lang w:eastAsia="en-US"/>
              </w:rPr>
            </w:pPr>
          </w:p>
        </w:tc>
      </w:tr>
      <w:tr w:rsidR="00971B91" w:rsidRPr="0057086A" w14:paraId="2C1DB769" w14:textId="77777777" w:rsidTr="00F713C2">
        <w:trPr>
          <w:trHeight w:val="285"/>
        </w:trPr>
        <w:tc>
          <w:tcPr>
            <w:tcW w:w="2061" w:type="pct"/>
            <w:tcBorders>
              <w:top w:val="nil"/>
              <w:left w:val="single" w:sz="4" w:space="0" w:color="auto"/>
              <w:bottom w:val="single" w:sz="8" w:space="0" w:color="auto"/>
              <w:right w:val="single" w:sz="8" w:space="0" w:color="auto"/>
            </w:tcBorders>
            <w:shd w:val="clear" w:color="auto" w:fill="auto"/>
            <w:hideMark/>
          </w:tcPr>
          <w:p w14:paraId="2F6E53D5" w14:textId="0CF3C5AF" w:rsidR="00971B91" w:rsidRPr="0057086A" w:rsidRDefault="00971B91" w:rsidP="00971B91">
            <w:pPr>
              <w:spacing w:line="240" w:lineRule="auto"/>
              <w:rPr>
                <w:rFonts w:eastAsia="Times New Roman" w:cs="Arial"/>
                <w:spacing w:val="0"/>
                <w:sz w:val="20"/>
                <w:szCs w:val="20"/>
                <w:lang w:eastAsia="en-US"/>
              </w:rPr>
            </w:pPr>
            <w:r w:rsidRPr="0057086A">
              <w:t>Вътрешногрупови услуги</w:t>
            </w:r>
          </w:p>
        </w:tc>
        <w:tc>
          <w:tcPr>
            <w:tcW w:w="529" w:type="pct"/>
            <w:tcBorders>
              <w:top w:val="nil"/>
              <w:left w:val="nil"/>
              <w:bottom w:val="single" w:sz="8" w:space="0" w:color="auto"/>
              <w:right w:val="single" w:sz="8" w:space="0" w:color="auto"/>
            </w:tcBorders>
            <w:shd w:val="clear" w:color="auto" w:fill="auto"/>
            <w:hideMark/>
          </w:tcPr>
          <w:p w14:paraId="3692D67D" w14:textId="5EBBC472" w:rsidR="00971B91" w:rsidRPr="0057086A" w:rsidRDefault="00971B91" w:rsidP="00971B91">
            <w:pPr>
              <w:spacing w:line="240" w:lineRule="auto"/>
              <w:rPr>
                <w:rFonts w:eastAsia="Times New Roman" w:cs="Arial"/>
                <w:spacing w:val="0"/>
                <w:sz w:val="20"/>
                <w:szCs w:val="20"/>
                <w:lang w:eastAsia="en-US"/>
              </w:rPr>
            </w:pPr>
            <w:r w:rsidRPr="0057086A">
              <w:t xml:space="preserve">хил. </w:t>
            </w:r>
            <w:proofErr w:type="spellStart"/>
            <w:r w:rsidRPr="0057086A">
              <w:t>лв</w:t>
            </w:r>
            <w:proofErr w:type="spellEnd"/>
          </w:p>
        </w:tc>
        <w:tc>
          <w:tcPr>
            <w:tcW w:w="736" w:type="pct"/>
            <w:tcBorders>
              <w:top w:val="nil"/>
              <w:left w:val="nil"/>
              <w:bottom w:val="single" w:sz="8" w:space="0" w:color="auto"/>
              <w:right w:val="single" w:sz="8" w:space="0" w:color="auto"/>
            </w:tcBorders>
            <w:shd w:val="clear" w:color="auto" w:fill="auto"/>
            <w:hideMark/>
          </w:tcPr>
          <w:p w14:paraId="3A3B5785" w14:textId="673ACD89" w:rsidR="00971B91" w:rsidRPr="000E311E" w:rsidRDefault="000E311E" w:rsidP="00971B91">
            <w:pPr>
              <w:spacing w:line="240" w:lineRule="auto"/>
              <w:rPr>
                <w:rFonts w:eastAsia="Times New Roman" w:cs="Arial"/>
                <w:spacing w:val="0"/>
                <w:sz w:val="20"/>
                <w:szCs w:val="20"/>
                <w:lang w:val="en-US" w:eastAsia="en-US"/>
              </w:rPr>
            </w:pPr>
            <w:r>
              <w:rPr>
                <w:lang w:val="en-US"/>
              </w:rPr>
              <w:t>x xxx</w:t>
            </w:r>
          </w:p>
        </w:tc>
        <w:tc>
          <w:tcPr>
            <w:tcW w:w="950" w:type="pct"/>
            <w:tcBorders>
              <w:top w:val="nil"/>
              <w:left w:val="nil"/>
              <w:bottom w:val="single" w:sz="8" w:space="0" w:color="auto"/>
              <w:right w:val="single" w:sz="8" w:space="0" w:color="auto"/>
            </w:tcBorders>
            <w:shd w:val="clear" w:color="auto" w:fill="auto"/>
            <w:hideMark/>
          </w:tcPr>
          <w:p w14:paraId="1199688E" w14:textId="5367749E" w:rsidR="00971B91" w:rsidRPr="000E311E" w:rsidRDefault="000E311E" w:rsidP="00971B91">
            <w:pPr>
              <w:spacing w:line="240" w:lineRule="auto"/>
              <w:rPr>
                <w:rFonts w:eastAsia="Times New Roman" w:cs="Arial"/>
                <w:spacing w:val="0"/>
                <w:sz w:val="20"/>
                <w:szCs w:val="20"/>
                <w:lang w:val="en-US" w:eastAsia="en-US"/>
              </w:rPr>
            </w:pPr>
            <w:r>
              <w:rPr>
                <w:lang w:val="en-US"/>
              </w:rPr>
              <w:t>x xxx</w:t>
            </w:r>
          </w:p>
        </w:tc>
        <w:tc>
          <w:tcPr>
            <w:tcW w:w="723" w:type="pct"/>
            <w:tcBorders>
              <w:top w:val="nil"/>
              <w:left w:val="nil"/>
              <w:bottom w:val="single" w:sz="8" w:space="0" w:color="auto"/>
              <w:right w:val="single" w:sz="8" w:space="0" w:color="auto"/>
            </w:tcBorders>
            <w:shd w:val="clear" w:color="auto" w:fill="auto"/>
            <w:hideMark/>
          </w:tcPr>
          <w:p w14:paraId="454CBDE4" w14:textId="5585D9C8" w:rsidR="00971B91" w:rsidRPr="000E311E" w:rsidRDefault="000E311E" w:rsidP="00971B91">
            <w:pPr>
              <w:spacing w:line="240" w:lineRule="auto"/>
              <w:rPr>
                <w:rFonts w:eastAsia="Times New Roman" w:cs="Arial"/>
                <w:spacing w:val="0"/>
                <w:sz w:val="20"/>
                <w:szCs w:val="20"/>
                <w:lang w:val="en-US" w:eastAsia="en-US"/>
              </w:rPr>
            </w:pPr>
            <w:r>
              <w:rPr>
                <w:lang w:val="en-US"/>
              </w:rPr>
              <w:t>xxx</w:t>
            </w:r>
          </w:p>
        </w:tc>
      </w:tr>
    </w:tbl>
    <w:p w14:paraId="6634CA02" w14:textId="77777777" w:rsidR="00BA711A" w:rsidRPr="0057086A" w:rsidRDefault="00BA711A" w:rsidP="00534AC9">
      <w:pPr>
        <w:ind w:left="709"/>
        <w:rPr>
          <w:lang w:val="en-US"/>
        </w:rPr>
      </w:pPr>
    </w:p>
    <w:p w14:paraId="7FE0C0D7" w14:textId="77777777" w:rsidR="004D0F94" w:rsidRPr="0057086A" w:rsidRDefault="004D0F94" w:rsidP="004D0F94">
      <w:pPr>
        <w:ind w:left="709"/>
        <w:jc w:val="both"/>
      </w:pPr>
    </w:p>
    <w:p w14:paraId="3D194614" w14:textId="7704BFB7" w:rsidR="00AB3DCB" w:rsidRPr="00412D0B" w:rsidRDefault="00AB3DCB" w:rsidP="004D0F94">
      <w:pPr>
        <w:pStyle w:val="Heading3"/>
        <w:numPr>
          <w:ilvl w:val="3"/>
          <w:numId w:val="12"/>
        </w:numPr>
        <w:tabs>
          <w:tab w:val="clear" w:pos="709"/>
        </w:tabs>
        <w:spacing w:before="240" w:line="240" w:lineRule="auto"/>
        <w:rPr>
          <w:b/>
          <w:color w:val="000000" w:themeColor="text1"/>
          <w:sz w:val="20"/>
        </w:rPr>
      </w:pPr>
      <w:r w:rsidRPr="00412D0B">
        <w:rPr>
          <w:b/>
          <w:color w:val="000000" w:themeColor="text1"/>
          <w:sz w:val="20"/>
        </w:rPr>
        <w:t>Приходи от присъединяване и услуги</w:t>
      </w:r>
    </w:p>
    <w:p w14:paraId="6C15321C" w14:textId="2D6CB3F2" w:rsidR="008508E1" w:rsidRPr="00412D0B" w:rsidRDefault="00E40208" w:rsidP="008508E1">
      <w:pPr>
        <w:ind w:left="709"/>
        <w:rPr>
          <w:color w:val="000000" w:themeColor="text1"/>
        </w:rPr>
      </w:pPr>
      <w:r w:rsidRPr="00412D0B">
        <w:rPr>
          <w:color w:val="000000" w:themeColor="text1"/>
        </w:rPr>
        <w:t xml:space="preserve">Съгласно забележка 3 от раздел III от </w:t>
      </w:r>
      <w:r w:rsidR="008508E1" w:rsidRPr="00412D0B">
        <w:rPr>
          <w:color w:val="000000" w:themeColor="text1"/>
        </w:rPr>
        <w:t>Указания-НВ „Приходите от присъединяване, услуги и невърнат топлоносител се изваждат от необходимите годишни приходи на съответното предприятие при определяне на цената на топлинната енергия.“</w:t>
      </w:r>
    </w:p>
    <w:p w14:paraId="0814B4F3" w14:textId="27CC7EBE" w:rsidR="00C321C6" w:rsidRPr="00412D0B" w:rsidRDefault="00D27B9C" w:rsidP="00D27B9C">
      <w:pPr>
        <w:ind w:left="709"/>
        <w:rPr>
          <w:color w:val="000000" w:themeColor="text1"/>
        </w:rPr>
      </w:pPr>
      <w:r w:rsidRPr="00412D0B">
        <w:rPr>
          <w:color w:val="000000" w:themeColor="text1"/>
        </w:rPr>
        <w:t xml:space="preserve">Планираните приходи за новия ценови период се състоят от планираните приходи от услуги за дялово разпределение на топлинна енергия, включително доставка и монтаж на уреди за дялово разпределение в ЕВН  България Топлофикация ЕАД, планираните приходи от присъединяване на нови клиенти  в ЕВН  България Топлофикация ЕАД и планираните приходи от услуги, директно възлагани от клиентите в ЕВН  България Топлофикация ЕАД. Стойността на планираните приходи е базирана на отчетните данни за приходите от услуги, като сумите са индексирани с обявената от НСИ средногодишна </w:t>
      </w:r>
      <w:r w:rsidR="00361D15" w:rsidRPr="00412D0B">
        <w:rPr>
          <w:color w:val="000000" w:themeColor="text1"/>
        </w:rPr>
        <w:t xml:space="preserve">инфлация </w:t>
      </w:r>
      <w:r w:rsidR="000B33C4" w:rsidRPr="00412D0B">
        <w:rPr>
          <w:color w:val="000000" w:themeColor="text1"/>
        </w:rPr>
        <w:t>за периода януари 202</w:t>
      </w:r>
      <w:r w:rsidR="00361D15" w:rsidRPr="00412D0B">
        <w:rPr>
          <w:color w:val="000000" w:themeColor="text1"/>
        </w:rPr>
        <w:t>2</w:t>
      </w:r>
      <w:r w:rsidR="000B33C4" w:rsidRPr="00412D0B">
        <w:rPr>
          <w:color w:val="000000" w:themeColor="text1"/>
        </w:rPr>
        <w:t xml:space="preserve"> - декември 202</w:t>
      </w:r>
      <w:r w:rsidR="00361D15" w:rsidRPr="00412D0B">
        <w:rPr>
          <w:color w:val="000000" w:themeColor="text1"/>
        </w:rPr>
        <w:t>2</w:t>
      </w:r>
      <w:r w:rsidR="000B33C4" w:rsidRPr="00412D0B">
        <w:rPr>
          <w:color w:val="000000" w:themeColor="text1"/>
        </w:rPr>
        <w:t xml:space="preserve"> г. спрямо периода януари 202</w:t>
      </w:r>
      <w:r w:rsidR="00361D15" w:rsidRPr="00412D0B">
        <w:rPr>
          <w:color w:val="000000" w:themeColor="text1"/>
        </w:rPr>
        <w:t>3</w:t>
      </w:r>
      <w:r w:rsidR="000B33C4" w:rsidRPr="00412D0B">
        <w:rPr>
          <w:color w:val="000000" w:themeColor="text1"/>
        </w:rPr>
        <w:t xml:space="preserve"> - декември 202</w:t>
      </w:r>
      <w:r w:rsidR="00361D15" w:rsidRPr="00412D0B">
        <w:rPr>
          <w:color w:val="000000" w:themeColor="text1"/>
        </w:rPr>
        <w:t>3</w:t>
      </w:r>
      <w:r w:rsidR="000B33C4" w:rsidRPr="00412D0B">
        <w:rPr>
          <w:color w:val="000000" w:themeColor="text1"/>
        </w:rPr>
        <w:t xml:space="preserve"> г</w:t>
      </w:r>
      <w:r w:rsidR="00361D15" w:rsidRPr="00412D0B">
        <w:rPr>
          <w:color w:val="000000" w:themeColor="text1"/>
        </w:rPr>
        <w:t xml:space="preserve">  </w:t>
      </w:r>
      <w:proofErr w:type="spellStart"/>
      <w:r w:rsidR="00991E12">
        <w:rPr>
          <w:color w:val="000000" w:themeColor="text1"/>
          <w:lang w:val="en-US"/>
        </w:rPr>
        <w:t>x.x</w:t>
      </w:r>
      <w:proofErr w:type="spellEnd"/>
      <w:r w:rsidR="00361D15" w:rsidRPr="00412D0B">
        <w:rPr>
          <w:color w:val="000000" w:themeColor="text1"/>
        </w:rPr>
        <w:t>%</w:t>
      </w:r>
      <w:r w:rsidR="000B33C4" w:rsidRPr="00412D0B">
        <w:rPr>
          <w:color w:val="000000" w:themeColor="text1"/>
        </w:rPr>
        <w:t>.</w:t>
      </w:r>
    </w:p>
    <w:p w14:paraId="4376DDD3" w14:textId="77777777" w:rsidR="00D27B9C" w:rsidRPr="00412D0B" w:rsidRDefault="00D27B9C" w:rsidP="00D27B9C">
      <w:pPr>
        <w:jc w:val="both"/>
        <w:rPr>
          <w:rFonts w:cs="Arial"/>
          <w:color w:val="000000" w:themeColor="text1"/>
          <w:sz w:val="20"/>
          <w:szCs w:val="20"/>
        </w:rPr>
      </w:pPr>
    </w:p>
    <w:tbl>
      <w:tblPr>
        <w:tblW w:w="5000" w:type="pct"/>
        <w:tblLook w:val="04A0" w:firstRow="1" w:lastRow="0" w:firstColumn="1" w:lastColumn="0" w:noHBand="0" w:noVBand="1"/>
      </w:tblPr>
      <w:tblGrid>
        <w:gridCol w:w="4448"/>
        <w:gridCol w:w="2584"/>
        <w:gridCol w:w="2586"/>
      </w:tblGrid>
      <w:tr w:rsidR="00412D0B" w:rsidRPr="00412D0B" w14:paraId="27A4184C" w14:textId="77777777" w:rsidTr="00A7432E">
        <w:trPr>
          <w:trHeight w:val="455"/>
        </w:trPr>
        <w:tc>
          <w:tcPr>
            <w:tcW w:w="231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28B79A" w14:textId="4FFCB635" w:rsidR="00D27B9C" w:rsidRPr="00412D0B" w:rsidRDefault="00D27B9C" w:rsidP="006B731D">
            <w:pPr>
              <w:spacing w:line="240" w:lineRule="auto"/>
              <w:jc w:val="center"/>
              <w:rPr>
                <w:rFonts w:cs="Arial"/>
                <w:b/>
                <w:bCs/>
                <w:color w:val="000000" w:themeColor="text1"/>
              </w:rPr>
            </w:pPr>
            <w:r w:rsidRPr="00412D0B">
              <w:rPr>
                <w:rFonts w:cs="Arial"/>
                <w:b/>
                <w:bCs/>
                <w:color w:val="000000" w:themeColor="text1"/>
              </w:rPr>
              <w:t>Приходи от услуги в</w:t>
            </w:r>
            <w:r w:rsidR="003267A9" w:rsidRPr="00412D0B">
              <w:rPr>
                <w:rFonts w:cs="Arial"/>
                <w:b/>
                <w:bCs/>
                <w:color w:val="000000" w:themeColor="text1"/>
              </w:rPr>
              <w:t xml:space="preserve"> хил.</w:t>
            </w:r>
            <w:r w:rsidRPr="00412D0B">
              <w:rPr>
                <w:rFonts w:cs="Arial"/>
                <w:b/>
                <w:bCs/>
                <w:color w:val="000000" w:themeColor="text1"/>
              </w:rPr>
              <w:t xml:space="preserve"> лв.</w:t>
            </w:r>
          </w:p>
        </w:tc>
        <w:tc>
          <w:tcPr>
            <w:tcW w:w="1343" w:type="pct"/>
            <w:tcBorders>
              <w:top w:val="single" w:sz="8" w:space="0" w:color="auto"/>
              <w:left w:val="nil"/>
              <w:bottom w:val="single" w:sz="8" w:space="0" w:color="auto"/>
              <w:right w:val="single" w:sz="8" w:space="0" w:color="auto"/>
            </w:tcBorders>
            <w:shd w:val="clear" w:color="auto" w:fill="auto"/>
            <w:noWrap/>
            <w:vAlign w:val="center"/>
            <w:hideMark/>
          </w:tcPr>
          <w:p w14:paraId="2F186185" w14:textId="77777777" w:rsidR="00D27B9C" w:rsidRPr="00412D0B" w:rsidRDefault="00D27B9C" w:rsidP="006B731D">
            <w:pPr>
              <w:spacing w:line="240" w:lineRule="auto"/>
              <w:jc w:val="center"/>
              <w:rPr>
                <w:rFonts w:cs="Arial"/>
                <w:b/>
                <w:bCs/>
                <w:color w:val="000000" w:themeColor="text1"/>
              </w:rPr>
            </w:pPr>
            <w:r w:rsidRPr="00412D0B">
              <w:rPr>
                <w:rFonts w:cs="Arial"/>
                <w:b/>
                <w:bCs/>
                <w:color w:val="000000" w:themeColor="text1"/>
              </w:rPr>
              <w:t xml:space="preserve">Отчет </w:t>
            </w:r>
          </w:p>
        </w:tc>
        <w:tc>
          <w:tcPr>
            <w:tcW w:w="1344" w:type="pct"/>
            <w:tcBorders>
              <w:top w:val="single" w:sz="8" w:space="0" w:color="auto"/>
              <w:left w:val="nil"/>
              <w:bottom w:val="single" w:sz="8" w:space="0" w:color="auto"/>
              <w:right w:val="single" w:sz="8" w:space="0" w:color="auto"/>
            </w:tcBorders>
            <w:shd w:val="clear" w:color="auto" w:fill="auto"/>
            <w:noWrap/>
            <w:vAlign w:val="center"/>
            <w:hideMark/>
          </w:tcPr>
          <w:p w14:paraId="5561E53C" w14:textId="77777777" w:rsidR="00D27B9C" w:rsidRPr="00412D0B" w:rsidRDefault="00D27B9C" w:rsidP="006B731D">
            <w:pPr>
              <w:spacing w:line="240" w:lineRule="auto"/>
              <w:jc w:val="center"/>
              <w:rPr>
                <w:rFonts w:cs="Arial"/>
                <w:b/>
                <w:bCs/>
                <w:color w:val="000000" w:themeColor="text1"/>
              </w:rPr>
            </w:pPr>
            <w:r w:rsidRPr="00412D0B">
              <w:rPr>
                <w:rFonts w:cs="Arial"/>
                <w:b/>
                <w:bCs/>
                <w:color w:val="000000" w:themeColor="text1"/>
              </w:rPr>
              <w:t xml:space="preserve">План </w:t>
            </w:r>
          </w:p>
        </w:tc>
      </w:tr>
      <w:tr w:rsidR="00412D0B" w:rsidRPr="00412D0B" w14:paraId="13E8C4E5" w14:textId="77777777" w:rsidTr="00C81B63">
        <w:trPr>
          <w:trHeight w:val="335"/>
        </w:trPr>
        <w:tc>
          <w:tcPr>
            <w:tcW w:w="2312" w:type="pct"/>
            <w:tcBorders>
              <w:top w:val="nil"/>
              <w:left w:val="single" w:sz="8" w:space="0" w:color="auto"/>
              <w:bottom w:val="single" w:sz="8" w:space="0" w:color="auto"/>
              <w:right w:val="single" w:sz="8" w:space="0" w:color="auto"/>
            </w:tcBorders>
            <w:shd w:val="clear" w:color="auto" w:fill="auto"/>
            <w:noWrap/>
            <w:vAlign w:val="center"/>
            <w:hideMark/>
          </w:tcPr>
          <w:p w14:paraId="5D44EBDB" w14:textId="77777777" w:rsidR="00741725" w:rsidRPr="00412D0B" w:rsidRDefault="00741725" w:rsidP="00741725">
            <w:pPr>
              <w:spacing w:line="240" w:lineRule="auto"/>
              <w:rPr>
                <w:rFonts w:cs="Arial"/>
                <w:color w:val="000000" w:themeColor="text1"/>
              </w:rPr>
            </w:pPr>
            <w:r w:rsidRPr="00412D0B">
              <w:rPr>
                <w:rFonts w:cs="Arial"/>
                <w:color w:val="000000" w:themeColor="text1"/>
              </w:rPr>
              <w:t>Дялово разпределение</w:t>
            </w:r>
          </w:p>
        </w:tc>
        <w:tc>
          <w:tcPr>
            <w:tcW w:w="1343" w:type="pct"/>
            <w:tcBorders>
              <w:top w:val="nil"/>
              <w:left w:val="nil"/>
              <w:bottom w:val="single" w:sz="8" w:space="0" w:color="auto"/>
              <w:right w:val="single" w:sz="8" w:space="0" w:color="auto"/>
            </w:tcBorders>
            <w:shd w:val="clear" w:color="auto" w:fill="auto"/>
            <w:noWrap/>
            <w:vAlign w:val="center"/>
            <w:hideMark/>
          </w:tcPr>
          <w:p w14:paraId="38191F01" w14:textId="25941C21" w:rsidR="00741725" w:rsidRPr="00991E12" w:rsidRDefault="00991E12" w:rsidP="00741725">
            <w:pPr>
              <w:jc w:val="right"/>
              <w:rPr>
                <w:rFonts w:cs="Arial"/>
                <w:color w:val="000000" w:themeColor="text1"/>
                <w:lang w:val="en-US"/>
              </w:rPr>
            </w:pPr>
            <w:r>
              <w:rPr>
                <w:rFonts w:ascii="Arial" w:hAnsi="Arial" w:cs="Arial"/>
                <w:color w:val="000000" w:themeColor="text1"/>
                <w:lang w:val="en-US"/>
              </w:rPr>
              <w:t>xx</w:t>
            </w:r>
          </w:p>
        </w:tc>
        <w:tc>
          <w:tcPr>
            <w:tcW w:w="1344" w:type="pct"/>
            <w:tcBorders>
              <w:top w:val="nil"/>
              <w:left w:val="nil"/>
              <w:bottom w:val="single" w:sz="8" w:space="0" w:color="auto"/>
              <w:right w:val="single" w:sz="8" w:space="0" w:color="auto"/>
            </w:tcBorders>
            <w:shd w:val="clear" w:color="auto" w:fill="auto"/>
            <w:noWrap/>
            <w:vAlign w:val="center"/>
            <w:hideMark/>
          </w:tcPr>
          <w:p w14:paraId="36C7392A" w14:textId="26B1BC77" w:rsidR="00741725" w:rsidRPr="00991E12" w:rsidRDefault="00991E12" w:rsidP="00741725">
            <w:pPr>
              <w:jc w:val="right"/>
              <w:rPr>
                <w:rFonts w:cs="Arial"/>
                <w:color w:val="000000" w:themeColor="text1"/>
                <w:lang w:val="en-US"/>
              </w:rPr>
            </w:pPr>
            <w:r>
              <w:rPr>
                <w:rFonts w:ascii="Arial" w:hAnsi="Arial" w:cs="Arial"/>
                <w:color w:val="000000" w:themeColor="text1"/>
                <w:lang w:val="en-US"/>
              </w:rPr>
              <w:t>xx</w:t>
            </w:r>
          </w:p>
        </w:tc>
      </w:tr>
      <w:tr w:rsidR="00412D0B" w:rsidRPr="00412D0B" w14:paraId="650056AE" w14:textId="77777777" w:rsidTr="00C81B63">
        <w:trPr>
          <w:trHeight w:val="335"/>
        </w:trPr>
        <w:tc>
          <w:tcPr>
            <w:tcW w:w="2312" w:type="pct"/>
            <w:tcBorders>
              <w:top w:val="nil"/>
              <w:left w:val="single" w:sz="8" w:space="0" w:color="auto"/>
              <w:bottom w:val="single" w:sz="8" w:space="0" w:color="auto"/>
              <w:right w:val="single" w:sz="8" w:space="0" w:color="auto"/>
            </w:tcBorders>
            <w:shd w:val="clear" w:color="auto" w:fill="auto"/>
            <w:noWrap/>
            <w:vAlign w:val="center"/>
            <w:hideMark/>
          </w:tcPr>
          <w:p w14:paraId="63D6475A" w14:textId="77777777" w:rsidR="00741725" w:rsidRPr="00412D0B" w:rsidRDefault="00741725" w:rsidP="00741725">
            <w:pPr>
              <w:spacing w:line="240" w:lineRule="auto"/>
              <w:rPr>
                <w:rFonts w:cs="Arial"/>
                <w:color w:val="000000" w:themeColor="text1"/>
              </w:rPr>
            </w:pPr>
            <w:r w:rsidRPr="00412D0B">
              <w:rPr>
                <w:rFonts w:cs="Arial"/>
                <w:color w:val="000000" w:themeColor="text1"/>
              </w:rPr>
              <w:t>Ново присъединяване</w:t>
            </w:r>
          </w:p>
        </w:tc>
        <w:tc>
          <w:tcPr>
            <w:tcW w:w="1343" w:type="pct"/>
            <w:tcBorders>
              <w:top w:val="nil"/>
              <w:left w:val="nil"/>
              <w:bottom w:val="single" w:sz="8" w:space="0" w:color="auto"/>
              <w:right w:val="single" w:sz="8" w:space="0" w:color="auto"/>
            </w:tcBorders>
            <w:shd w:val="clear" w:color="auto" w:fill="auto"/>
            <w:noWrap/>
            <w:vAlign w:val="center"/>
            <w:hideMark/>
          </w:tcPr>
          <w:p w14:paraId="2E7C3072" w14:textId="067D11A9" w:rsidR="00741725" w:rsidRPr="00991E12" w:rsidRDefault="00991E12" w:rsidP="00741725">
            <w:pPr>
              <w:jc w:val="right"/>
              <w:rPr>
                <w:rFonts w:cs="Arial"/>
                <w:color w:val="000000" w:themeColor="text1"/>
                <w:lang w:val="en-US"/>
              </w:rPr>
            </w:pPr>
            <w:r>
              <w:rPr>
                <w:rFonts w:ascii="Arial" w:hAnsi="Arial" w:cs="Arial"/>
                <w:color w:val="000000" w:themeColor="text1"/>
                <w:lang w:val="en-US"/>
              </w:rPr>
              <w:t>xx</w:t>
            </w:r>
          </w:p>
        </w:tc>
        <w:tc>
          <w:tcPr>
            <w:tcW w:w="1344" w:type="pct"/>
            <w:tcBorders>
              <w:top w:val="nil"/>
              <w:left w:val="nil"/>
              <w:bottom w:val="single" w:sz="8" w:space="0" w:color="auto"/>
              <w:right w:val="single" w:sz="8" w:space="0" w:color="auto"/>
            </w:tcBorders>
            <w:shd w:val="clear" w:color="auto" w:fill="auto"/>
            <w:noWrap/>
            <w:vAlign w:val="center"/>
            <w:hideMark/>
          </w:tcPr>
          <w:p w14:paraId="6D5B5CB4" w14:textId="6E94DD31" w:rsidR="00741725" w:rsidRPr="00991E12" w:rsidRDefault="00991E12" w:rsidP="00741725">
            <w:pPr>
              <w:jc w:val="right"/>
              <w:rPr>
                <w:rFonts w:cs="Arial"/>
                <w:color w:val="000000" w:themeColor="text1"/>
                <w:lang w:val="en-US"/>
              </w:rPr>
            </w:pPr>
            <w:r>
              <w:rPr>
                <w:rFonts w:ascii="Arial" w:hAnsi="Arial" w:cs="Arial"/>
                <w:color w:val="000000" w:themeColor="text1"/>
                <w:lang w:val="en-US"/>
              </w:rPr>
              <w:t>xx</w:t>
            </w:r>
          </w:p>
        </w:tc>
      </w:tr>
      <w:tr w:rsidR="00412D0B" w:rsidRPr="00412D0B" w14:paraId="567FFD6F" w14:textId="77777777" w:rsidTr="00C81B63">
        <w:trPr>
          <w:trHeight w:val="335"/>
        </w:trPr>
        <w:tc>
          <w:tcPr>
            <w:tcW w:w="2312" w:type="pct"/>
            <w:tcBorders>
              <w:top w:val="nil"/>
              <w:left w:val="single" w:sz="8" w:space="0" w:color="auto"/>
              <w:bottom w:val="single" w:sz="8" w:space="0" w:color="auto"/>
              <w:right w:val="single" w:sz="8" w:space="0" w:color="auto"/>
            </w:tcBorders>
            <w:shd w:val="clear" w:color="auto" w:fill="auto"/>
            <w:noWrap/>
            <w:vAlign w:val="center"/>
            <w:hideMark/>
          </w:tcPr>
          <w:p w14:paraId="590A43A0" w14:textId="77777777" w:rsidR="00741725" w:rsidRPr="00412D0B" w:rsidRDefault="00741725" w:rsidP="00741725">
            <w:pPr>
              <w:spacing w:line="240" w:lineRule="auto"/>
              <w:rPr>
                <w:rFonts w:cs="Arial"/>
                <w:color w:val="000000" w:themeColor="text1"/>
              </w:rPr>
            </w:pPr>
            <w:r w:rsidRPr="00412D0B">
              <w:rPr>
                <w:rFonts w:cs="Arial"/>
                <w:color w:val="000000" w:themeColor="text1"/>
              </w:rPr>
              <w:t xml:space="preserve">Други услуги </w:t>
            </w:r>
          </w:p>
        </w:tc>
        <w:tc>
          <w:tcPr>
            <w:tcW w:w="1343" w:type="pct"/>
            <w:tcBorders>
              <w:top w:val="nil"/>
              <w:left w:val="nil"/>
              <w:bottom w:val="single" w:sz="8" w:space="0" w:color="auto"/>
              <w:right w:val="single" w:sz="8" w:space="0" w:color="auto"/>
            </w:tcBorders>
            <w:shd w:val="clear" w:color="auto" w:fill="auto"/>
            <w:noWrap/>
            <w:vAlign w:val="center"/>
            <w:hideMark/>
          </w:tcPr>
          <w:p w14:paraId="79D138F9" w14:textId="5FF2E039" w:rsidR="00741725" w:rsidRPr="00991E12" w:rsidRDefault="00991E12" w:rsidP="00741725">
            <w:pPr>
              <w:jc w:val="right"/>
              <w:rPr>
                <w:rFonts w:cs="Arial"/>
                <w:color w:val="000000" w:themeColor="text1"/>
                <w:lang w:val="en-US"/>
              </w:rPr>
            </w:pPr>
            <w:r>
              <w:rPr>
                <w:rFonts w:ascii="Arial" w:hAnsi="Arial" w:cs="Arial"/>
                <w:color w:val="000000" w:themeColor="text1"/>
                <w:lang w:val="en-US"/>
              </w:rPr>
              <w:t>xxx</w:t>
            </w:r>
          </w:p>
        </w:tc>
        <w:tc>
          <w:tcPr>
            <w:tcW w:w="1344" w:type="pct"/>
            <w:tcBorders>
              <w:top w:val="nil"/>
              <w:left w:val="nil"/>
              <w:bottom w:val="single" w:sz="8" w:space="0" w:color="auto"/>
              <w:right w:val="single" w:sz="8" w:space="0" w:color="auto"/>
            </w:tcBorders>
            <w:shd w:val="clear" w:color="auto" w:fill="auto"/>
            <w:noWrap/>
            <w:vAlign w:val="center"/>
            <w:hideMark/>
          </w:tcPr>
          <w:p w14:paraId="6A839F37" w14:textId="423FECB7" w:rsidR="00741725" w:rsidRPr="00991E12" w:rsidRDefault="00991E12" w:rsidP="00741725">
            <w:pPr>
              <w:jc w:val="right"/>
              <w:rPr>
                <w:rFonts w:cs="Arial"/>
                <w:color w:val="000000" w:themeColor="text1"/>
                <w:lang w:val="en-US"/>
              </w:rPr>
            </w:pPr>
            <w:r>
              <w:rPr>
                <w:rFonts w:ascii="Arial" w:hAnsi="Arial" w:cs="Arial"/>
                <w:color w:val="000000" w:themeColor="text1"/>
                <w:lang w:val="en-US"/>
              </w:rPr>
              <w:t>xxx</w:t>
            </w:r>
          </w:p>
        </w:tc>
      </w:tr>
      <w:tr w:rsidR="00412D0B" w:rsidRPr="00412D0B" w14:paraId="19451E9F" w14:textId="77777777" w:rsidTr="00C81B63">
        <w:trPr>
          <w:trHeight w:val="350"/>
        </w:trPr>
        <w:tc>
          <w:tcPr>
            <w:tcW w:w="2312" w:type="pct"/>
            <w:tcBorders>
              <w:top w:val="nil"/>
              <w:left w:val="single" w:sz="8" w:space="0" w:color="auto"/>
              <w:bottom w:val="single" w:sz="8" w:space="0" w:color="auto"/>
              <w:right w:val="single" w:sz="8" w:space="0" w:color="auto"/>
            </w:tcBorders>
            <w:shd w:val="clear" w:color="auto" w:fill="auto"/>
            <w:noWrap/>
            <w:vAlign w:val="center"/>
            <w:hideMark/>
          </w:tcPr>
          <w:p w14:paraId="072A8037" w14:textId="56854D3A" w:rsidR="00741725" w:rsidRPr="00412D0B" w:rsidRDefault="00741725" w:rsidP="00741725">
            <w:pPr>
              <w:spacing w:line="240" w:lineRule="auto"/>
              <w:rPr>
                <w:rFonts w:cs="Arial"/>
                <w:b/>
                <w:bCs/>
                <w:color w:val="000000" w:themeColor="text1"/>
              </w:rPr>
            </w:pPr>
            <w:r w:rsidRPr="00412D0B">
              <w:rPr>
                <w:rFonts w:cs="Arial"/>
                <w:b/>
                <w:bCs/>
                <w:color w:val="000000" w:themeColor="text1"/>
              </w:rPr>
              <w:t>Общо</w:t>
            </w:r>
          </w:p>
        </w:tc>
        <w:tc>
          <w:tcPr>
            <w:tcW w:w="1343" w:type="pct"/>
            <w:tcBorders>
              <w:top w:val="nil"/>
              <w:left w:val="nil"/>
              <w:bottom w:val="single" w:sz="8" w:space="0" w:color="auto"/>
              <w:right w:val="single" w:sz="8" w:space="0" w:color="auto"/>
            </w:tcBorders>
            <w:shd w:val="clear" w:color="auto" w:fill="auto"/>
            <w:noWrap/>
            <w:vAlign w:val="center"/>
            <w:hideMark/>
          </w:tcPr>
          <w:p w14:paraId="04857F3F" w14:textId="4E8FFE05" w:rsidR="00741725" w:rsidRPr="00991E12" w:rsidRDefault="00991E12" w:rsidP="00741725">
            <w:pPr>
              <w:jc w:val="right"/>
              <w:rPr>
                <w:rFonts w:cs="Arial"/>
                <w:b/>
                <w:bCs/>
                <w:color w:val="000000" w:themeColor="text1"/>
                <w:lang w:val="en-US"/>
              </w:rPr>
            </w:pPr>
            <w:r>
              <w:rPr>
                <w:rFonts w:ascii="Arial" w:hAnsi="Arial" w:cs="Arial"/>
                <w:b/>
                <w:bCs/>
                <w:color w:val="000000" w:themeColor="text1"/>
                <w:lang w:val="en-US"/>
              </w:rPr>
              <w:t>xxx</w:t>
            </w:r>
          </w:p>
        </w:tc>
        <w:tc>
          <w:tcPr>
            <w:tcW w:w="1344" w:type="pct"/>
            <w:tcBorders>
              <w:top w:val="nil"/>
              <w:left w:val="nil"/>
              <w:bottom w:val="single" w:sz="8" w:space="0" w:color="auto"/>
              <w:right w:val="single" w:sz="8" w:space="0" w:color="auto"/>
            </w:tcBorders>
            <w:shd w:val="clear" w:color="auto" w:fill="auto"/>
            <w:noWrap/>
            <w:vAlign w:val="center"/>
            <w:hideMark/>
          </w:tcPr>
          <w:p w14:paraId="106F4F62" w14:textId="43002FE4" w:rsidR="00741725" w:rsidRPr="00991E12" w:rsidRDefault="00991E12" w:rsidP="00741725">
            <w:pPr>
              <w:jc w:val="right"/>
              <w:rPr>
                <w:rFonts w:cs="Arial"/>
                <w:b/>
                <w:bCs/>
                <w:color w:val="000000" w:themeColor="text1"/>
                <w:lang w:val="en-US"/>
              </w:rPr>
            </w:pPr>
            <w:r>
              <w:rPr>
                <w:rFonts w:ascii="Arial" w:hAnsi="Arial" w:cs="Arial"/>
                <w:b/>
                <w:bCs/>
                <w:color w:val="000000" w:themeColor="text1"/>
                <w:lang w:val="en-US"/>
              </w:rPr>
              <w:t>xxx</w:t>
            </w:r>
          </w:p>
        </w:tc>
      </w:tr>
    </w:tbl>
    <w:p w14:paraId="36D37778" w14:textId="34B78249" w:rsidR="00534AC9" w:rsidRPr="0057086A" w:rsidRDefault="00534AC9" w:rsidP="00C72E5E"/>
    <w:p w14:paraId="7F0DF239" w14:textId="1581CA02" w:rsidR="00074983" w:rsidRPr="0057086A" w:rsidRDefault="00A43EB9" w:rsidP="004D0F94">
      <w:pPr>
        <w:pStyle w:val="Heading3"/>
        <w:numPr>
          <w:ilvl w:val="3"/>
          <w:numId w:val="12"/>
        </w:numPr>
        <w:tabs>
          <w:tab w:val="clear" w:pos="709"/>
        </w:tabs>
        <w:spacing w:before="240" w:line="240" w:lineRule="auto"/>
        <w:rPr>
          <w:b/>
          <w:color w:val="auto"/>
          <w:sz w:val="20"/>
        </w:rPr>
      </w:pPr>
      <w:r w:rsidRPr="0057086A">
        <w:rPr>
          <w:b/>
          <w:color w:val="auto"/>
          <w:sz w:val="20"/>
        </w:rPr>
        <w:lastRenderedPageBreak/>
        <w:t>Калкулация на Условно-постоянни разходи</w:t>
      </w:r>
    </w:p>
    <w:p w14:paraId="560E6BDD" w14:textId="76999023" w:rsidR="005D6CAE" w:rsidRPr="0057086A" w:rsidRDefault="005D6CAE" w:rsidP="005D6CAE">
      <w:pPr>
        <w:ind w:left="709"/>
      </w:pPr>
      <w:r w:rsidRPr="0057086A">
        <w:t>Условно–постоянните разходи представляват сума от разходите на следните пет основни подгрупи: разходи за заплати, разходи свързани с осигурителното законодателство, разходи за амортизации, разходи за ремонти и разходи пряко свързани с дейностите</w:t>
      </w:r>
      <w:r w:rsidR="00626041" w:rsidRPr="0057086A">
        <w:t>. От тях съгласно забележка 3 от раздел III от Указания-НВ се приспадат приходи от присъединяване и услуги.</w:t>
      </w:r>
    </w:p>
    <w:p w14:paraId="7C3B8C71" w14:textId="0C56A103" w:rsidR="00626041" w:rsidRPr="0057086A" w:rsidRDefault="00626041" w:rsidP="005D6CAE">
      <w:pPr>
        <w:ind w:left="709"/>
      </w:pPr>
    </w:p>
    <w:p w14:paraId="726B9F84" w14:textId="6B93B63D" w:rsidR="00626041" w:rsidRPr="0057086A" w:rsidRDefault="00626041" w:rsidP="005D6CAE">
      <w:pPr>
        <w:ind w:left="709"/>
      </w:pPr>
      <w:r w:rsidRPr="0057086A">
        <w:t>УПР=разходи за заплати+ разходи свързани с осигурителното законодателство+ разходи за амортизации+ разходи за ремонти+ разходи пряко свързани с дейностите- приходи от присъединяване и услуги</w:t>
      </w:r>
    </w:p>
    <w:p w14:paraId="1CC33BD9" w14:textId="32121DFF" w:rsidR="00626041" w:rsidRPr="0057086A" w:rsidRDefault="00626041" w:rsidP="005D6CAE">
      <w:pPr>
        <w:ind w:left="709"/>
        <w:rPr>
          <w:u w:val="single"/>
        </w:rPr>
      </w:pPr>
    </w:p>
    <w:p w14:paraId="7C157B5A" w14:textId="659011FB" w:rsidR="00B3167A" w:rsidRPr="0057086A" w:rsidRDefault="00B3167A" w:rsidP="005D6CAE">
      <w:pPr>
        <w:ind w:left="709"/>
      </w:pPr>
      <w:r w:rsidRPr="0057086A">
        <w:t xml:space="preserve">УПР = </w:t>
      </w:r>
      <w:r w:rsidR="000C225C">
        <w:rPr>
          <w:rFonts w:cs="Arial"/>
          <w:sz w:val="20"/>
          <w:szCs w:val="20"/>
          <w:lang w:val="en-US"/>
        </w:rPr>
        <w:t>x xxx</w:t>
      </w:r>
      <w:r w:rsidR="00600ADB">
        <w:rPr>
          <w:rFonts w:cs="Arial"/>
          <w:sz w:val="20"/>
          <w:szCs w:val="20"/>
        </w:rPr>
        <w:t xml:space="preserve"> </w:t>
      </w:r>
      <w:r w:rsidR="009B5CBA" w:rsidRPr="0057086A">
        <w:rPr>
          <w:rFonts w:eastAsia="Times New Roman" w:cs="Arial"/>
          <w:spacing w:val="0"/>
          <w:lang w:eastAsia="en-US"/>
        </w:rPr>
        <w:t>+</w:t>
      </w:r>
      <w:r w:rsidR="001D4212" w:rsidRPr="0057086A">
        <w:rPr>
          <w:rFonts w:eastAsia="Times New Roman" w:cs="Arial"/>
          <w:spacing w:val="0"/>
          <w:lang w:eastAsia="en-US"/>
        </w:rPr>
        <w:t xml:space="preserve"> </w:t>
      </w:r>
      <w:r w:rsidR="000C225C">
        <w:rPr>
          <w:rFonts w:eastAsia="Times New Roman" w:cs="Arial"/>
          <w:spacing w:val="0"/>
          <w:lang w:val="en-US" w:eastAsia="en-US"/>
        </w:rPr>
        <w:t xml:space="preserve">x xxx </w:t>
      </w:r>
      <w:r w:rsidR="009B5CBA" w:rsidRPr="0057086A">
        <w:rPr>
          <w:rFonts w:eastAsia="Times New Roman" w:cs="Arial"/>
          <w:spacing w:val="0"/>
          <w:lang w:eastAsia="en-US"/>
        </w:rPr>
        <w:t>+</w:t>
      </w:r>
      <w:r w:rsidR="001D4212" w:rsidRPr="0057086A">
        <w:rPr>
          <w:rFonts w:eastAsia="Times New Roman" w:cs="Arial"/>
          <w:spacing w:val="0"/>
          <w:lang w:eastAsia="en-US"/>
        </w:rPr>
        <w:t xml:space="preserve"> </w:t>
      </w:r>
      <w:r w:rsidR="000C225C">
        <w:rPr>
          <w:rFonts w:eastAsia="Times New Roman" w:cs="Arial"/>
          <w:spacing w:val="0"/>
          <w:lang w:val="en-US" w:eastAsia="en-US"/>
        </w:rPr>
        <w:t>xx xxx</w:t>
      </w:r>
      <w:r w:rsidR="00600ADB">
        <w:rPr>
          <w:rFonts w:cs="Arial"/>
          <w:sz w:val="20"/>
          <w:szCs w:val="20"/>
        </w:rPr>
        <w:t xml:space="preserve"> </w:t>
      </w:r>
      <w:r w:rsidR="001D4212" w:rsidRPr="0057086A">
        <w:rPr>
          <w:rFonts w:cs="Arial"/>
        </w:rPr>
        <w:t xml:space="preserve">+ </w:t>
      </w:r>
      <w:r w:rsidR="000C225C">
        <w:rPr>
          <w:rFonts w:cs="Arial"/>
          <w:sz w:val="20"/>
          <w:szCs w:val="20"/>
          <w:lang w:val="en-US"/>
        </w:rPr>
        <w:t>x xxx</w:t>
      </w:r>
      <w:r w:rsidR="00424AA3" w:rsidRPr="0057086A">
        <w:rPr>
          <w:rFonts w:cs="Arial"/>
          <w:sz w:val="20"/>
          <w:szCs w:val="20"/>
        </w:rPr>
        <w:t xml:space="preserve"> </w:t>
      </w:r>
      <w:r w:rsidR="009B5CBA" w:rsidRPr="0057086A">
        <w:rPr>
          <w:rFonts w:cs="Arial"/>
        </w:rPr>
        <w:t>+</w:t>
      </w:r>
      <w:r w:rsidR="001D4212" w:rsidRPr="0057086A">
        <w:rPr>
          <w:rFonts w:cs="Arial"/>
        </w:rPr>
        <w:t xml:space="preserve"> </w:t>
      </w:r>
      <w:r w:rsidR="000C225C">
        <w:rPr>
          <w:rFonts w:cs="Arial"/>
          <w:lang w:val="en-US"/>
        </w:rPr>
        <w:t>x xxx</w:t>
      </w:r>
      <w:r w:rsidR="00600ADB">
        <w:rPr>
          <w:rFonts w:cs="Arial"/>
          <w:sz w:val="20"/>
          <w:szCs w:val="20"/>
        </w:rPr>
        <w:t xml:space="preserve"> </w:t>
      </w:r>
      <w:r w:rsidR="001D4212" w:rsidRPr="0057086A">
        <w:rPr>
          <w:rFonts w:cs="Arial"/>
        </w:rPr>
        <w:t xml:space="preserve">– </w:t>
      </w:r>
      <w:r w:rsidR="000C225C">
        <w:rPr>
          <w:rFonts w:cs="Arial"/>
          <w:lang w:val="en-US"/>
        </w:rPr>
        <w:t>xxx</w:t>
      </w:r>
      <w:r w:rsidR="001D4212" w:rsidRPr="0057086A">
        <w:rPr>
          <w:rFonts w:cs="Arial"/>
        </w:rPr>
        <w:t xml:space="preserve"> </w:t>
      </w:r>
      <w:r w:rsidR="009B5CBA" w:rsidRPr="0057086A">
        <w:rPr>
          <w:rFonts w:cs="Arial"/>
        </w:rPr>
        <w:t>=</w:t>
      </w:r>
      <w:r w:rsidR="001D4212" w:rsidRPr="0057086A">
        <w:rPr>
          <w:rFonts w:cs="Arial"/>
        </w:rPr>
        <w:t xml:space="preserve"> </w:t>
      </w:r>
      <w:r w:rsidR="000C225C">
        <w:rPr>
          <w:rFonts w:cs="Arial"/>
          <w:lang w:val="en-US"/>
        </w:rPr>
        <w:t>xx xxx</w:t>
      </w:r>
      <w:r w:rsidR="00600ADB">
        <w:rPr>
          <w:rFonts w:cs="Arial"/>
        </w:rPr>
        <w:t xml:space="preserve"> </w:t>
      </w:r>
      <w:r w:rsidR="002044E4" w:rsidRPr="0057086A">
        <w:rPr>
          <w:rFonts w:cs="Arial"/>
        </w:rPr>
        <w:t>хил. лв.</w:t>
      </w:r>
    </w:p>
    <w:p w14:paraId="2F2F74C9" w14:textId="77777777" w:rsidR="005D6CAE" w:rsidRPr="0057086A" w:rsidRDefault="005D6CAE" w:rsidP="005D6CAE"/>
    <w:p w14:paraId="5C3838D1" w14:textId="549EDF65" w:rsidR="009242AD" w:rsidRPr="0057086A" w:rsidRDefault="00133EF3" w:rsidP="00226ECF">
      <w:pPr>
        <w:pStyle w:val="Heading2"/>
        <w:keepLines w:val="0"/>
        <w:numPr>
          <w:ilvl w:val="1"/>
          <w:numId w:val="12"/>
        </w:numPr>
        <w:tabs>
          <w:tab w:val="clear" w:pos="567"/>
        </w:tabs>
        <w:spacing w:before="240" w:line="240" w:lineRule="auto"/>
        <w:rPr>
          <w:sz w:val="20"/>
        </w:rPr>
      </w:pPr>
      <w:r w:rsidRPr="0057086A">
        <w:rPr>
          <w:sz w:val="20"/>
        </w:rPr>
        <w:t>Променливи разходи</w:t>
      </w:r>
    </w:p>
    <w:p w14:paraId="73E87F91" w14:textId="3F953CA2" w:rsidR="009242AD" w:rsidRPr="0057086A" w:rsidRDefault="009242AD" w:rsidP="009242AD"/>
    <w:p w14:paraId="5B43FBD3" w14:textId="2DC83566" w:rsidR="00133EF3" w:rsidRPr="0057086A" w:rsidRDefault="00133EF3" w:rsidP="00133EF3">
      <w:pPr>
        <w:ind w:left="709"/>
        <w:rPr>
          <w:rFonts w:cs="Arial"/>
          <w:lang w:eastAsia="de-DE"/>
        </w:rPr>
      </w:pPr>
      <w:r w:rsidRPr="0057086A">
        <w:rPr>
          <w:rFonts w:cs="Arial"/>
          <w:lang w:eastAsia="de-DE"/>
        </w:rPr>
        <w:t xml:space="preserve">Променливи разходи се </w:t>
      </w:r>
      <w:r w:rsidR="00934A43" w:rsidRPr="0057086A">
        <w:rPr>
          <w:rFonts w:cs="Arial"/>
          <w:lang w:eastAsia="de-DE"/>
        </w:rPr>
        <w:t>намаляват</w:t>
      </w:r>
      <w:r w:rsidRPr="0057086A">
        <w:rPr>
          <w:rFonts w:cs="Arial"/>
          <w:lang w:eastAsia="de-DE"/>
        </w:rPr>
        <w:t xml:space="preserve"> с </w:t>
      </w:r>
      <w:proofErr w:type="spellStart"/>
      <w:r w:rsidR="000C225C">
        <w:rPr>
          <w:rFonts w:cs="Arial"/>
          <w:lang w:val="en-US" w:eastAsia="de-DE"/>
        </w:rPr>
        <w:t>xx,x</w:t>
      </w:r>
      <w:proofErr w:type="spellEnd"/>
      <w:r w:rsidRPr="0057086A">
        <w:rPr>
          <w:rFonts w:cs="Arial"/>
          <w:lang w:eastAsia="de-DE"/>
        </w:rPr>
        <w:t xml:space="preserve"> % до</w:t>
      </w:r>
      <w:r w:rsidR="00DF1640" w:rsidRPr="0057086A">
        <w:rPr>
          <w:rFonts w:cs="Arial"/>
          <w:lang w:val="en-US" w:eastAsia="de-DE"/>
        </w:rPr>
        <w:t xml:space="preserve"> </w:t>
      </w:r>
      <w:r w:rsidR="000C225C">
        <w:rPr>
          <w:rFonts w:cs="Arial"/>
          <w:lang w:val="en-US" w:eastAsia="de-DE"/>
        </w:rPr>
        <w:t>xx xxx</w:t>
      </w:r>
      <w:r w:rsidRPr="0057086A">
        <w:rPr>
          <w:rFonts w:cs="Arial"/>
          <w:lang w:eastAsia="de-DE"/>
        </w:rPr>
        <w:t xml:space="preserve"> </w:t>
      </w:r>
      <w:proofErr w:type="spellStart"/>
      <w:r w:rsidRPr="0057086A">
        <w:rPr>
          <w:rFonts w:cs="Arial"/>
          <w:lang w:eastAsia="de-DE"/>
        </w:rPr>
        <w:t>хил.лева</w:t>
      </w:r>
      <w:proofErr w:type="spellEnd"/>
      <w:r w:rsidRPr="0057086A">
        <w:rPr>
          <w:rFonts w:cs="Arial"/>
          <w:lang w:eastAsia="de-DE"/>
        </w:rPr>
        <w:t>, дадени подробно в таблиците по-долу:</w:t>
      </w:r>
    </w:p>
    <w:p w14:paraId="11ED68EE" w14:textId="77777777" w:rsidR="00595945" w:rsidRPr="0057086A" w:rsidRDefault="00595945" w:rsidP="00133EF3">
      <w:pPr>
        <w:ind w:left="709"/>
      </w:pPr>
    </w:p>
    <w:tbl>
      <w:tblPr>
        <w:tblW w:w="0" w:type="auto"/>
        <w:tblLook w:val="04A0" w:firstRow="1" w:lastRow="0" w:firstColumn="1" w:lastColumn="0" w:noHBand="0" w:noVBand="1"/>
      </w:tblPr>
      <w:tblGrid>
        <w:gridCol w:w="2978"/>
        <w:gridCol w:w="906"/>
        <w:gridCol w:w="1640"/>
        <w:gridCol w:w="2353"/>
        <w:gridCol w:w="1741"/>
      </w:tblGrid>
      <w:tr w:rsidR="00A44B92" w:rsidRPr="0057086A" w14:paraId="6F4C9895" w14:textId="77777777" w:rsidTr="003D3D78">
        <w:trPr>
          <w:trHeight w:val="25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273E025" w14:textId="42D2B04D" w:rsidR="00A44B92" w:rsidRPr="0057086A" w:rsidRDefault="00A44B92" w:rsidP="00A44B92">
            <w:pPr>
              <w:spacing w:line="240" w:lineRule="auto"/>
              <w:jc w:val="center"/>
              <w:rPr>
                <w:rFonts w:eastAsia="Times New Roman" w:cs="Arial"/>
                <w:spacing w:val="0"/>
                <w:sz w:val="20"/>
                <w:szCs w:val="20"/>
                <w:lang w:eastAsia="en-US"/>
              </w:rPr>
            </w:pPr>
            <w:r w:rsidRPr="0057086A">
              <w:rPr>
                <w:rFonts w:cs="Arial"/>
                <w:sz w:val="20"/>
                <w:szCs w:val="20"/>
              </w:rPr>
              <w:t>НАИМЕНОВАНИЕ НА РАЗХОДА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26ACBA7" w14:textId="6785E82B" w:rsidR="00A44B92" w:rsidRPr="0057086A" w:rsidRDefault="00A44B92" w:rsidP="00A44B92">
            <w:pPr>
              <w:spacing w:line="240" w:lineRule="auto"/>
              <w:jc w:val="center"/>
              <w:rPr>
                <w:rFonts w:eastAsia="Times New Roman" w:cs="Arial"/>
                <w:spacing w:val="0"/>
                <w:sz w:val="20"/>
                <w:szCs w:val="20"/>
                <w:lang w:eastAsia="en-US"/>
              </w:rPr>
            </w:pPr>
            <w:r w:rsidRPr="0057086A">
              <w:rPr>
                <w:rFonts w:cs="Arial"/>
                <w:sz w:val="20"/>
                <w:szCs w:val="20"/>
              </w:rPr>
              <w:t>МЯРКА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61381D5" w14:textId="6A01DE93" w:rsidR="00A44B92" w:rsidRPr="00773684" w:rsidRDefault="00A44B92" w:rsidP="00A44B92">
            <w:pPr>
              <w:spacing w:line="240" w:lineRule="auto"/>
              <w:jc w:val="center"/>
              <w:rPr>
                <w:rFonts w:eastAsia="Times New Roman" w:cs="Arial"/>
                <w:color w:val="FF0000"/>
                <w:spacing w:val="0"/>
                <w:sz w:val="20"/>
                <w:szCs w:val="20"/>
                <w:lang w:eastAsia="en-US"/>
              </w:rPr>
            </w:pPr>
            <w:r w:rsidRPr="00971B91">
              <w:rPr>
                <w:rFonts w:eastAsia="Times New Roman" w:cs="Arial"/>
                <w:color w:val="000000" w:themeColor="text1"/>
                <w:spacing w:val="0"/>
                <w:sz w:val="20"/>
                <w:szCs w:val="20"/>
                <w:lang w:eastAsia="en-US"/>
              </w:rPr>
              <w:t>Отчет за базовата 2023 г.</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68C31C" w14:textId="17F6A213" w:rsidR="00A44B92" w:rsidRPr="00773684" w:rsidRDefault="00A44B92" w:rsidP="00A44B92">
            <w:pPr>
              <w:spacing w:line="240" w:lineRule="auto"/>
              <w:jc w:val="center"/>
              <w:rPr>
                <w:rFonts w:eastAsia="Times New Roman" w:cs="Arial"/>
                <w:color w:val="FF0000"/>
                <w:spacing w:val="0"/>
                <w:sz w:val="20"/>
                <w:szCs w:val="20"/>
                <w:lang w:eastAsia="en-US"/>
              </w:rPr>
            </w:pPr>
            <w:r w:rsidRPr="00971B91">
              <w:rPr>
                <w:rFonts w:eastAsia="Times New Roman" w:cs="Arial"/>
                <w:color w:val="000000" w:themeColor="text1"/>
                <w:spacing w:val="0"/>
                <w:sz w:val="20"/>
                <w:szCs w:val="20"/>
                <w:lang w:eastAsia="en-US"/>
              </w:rPr>
              <w:t>Прогноза в цени X</w:t>
            </w:r>
            <w:r w:rsidRPr="00971B91">
              <w:rPr>
                <w:rFonts w:eastAsia="Times New Roman" w:cs="Arial"/>
                <w:color w:val="000000" w:themeColor="text1"/>
                <w:spacing w:val="0"/>
                <w:sz w:val="20"/>
                <w:szCs w:val="20"/>
                <w:lang w:val="en-US" w:eastAsia="en-US"/>
              </w:rPr>
              <w:t>V</w:t>
            </w:r>
            <w:r w:rsidRPr="00971B91">
              <w:rPr>
                <w:rFonts w:eastAsia="Times New Roman" w:cs="Arial"/>
                <w:color w:val="000000" w:themeColor="text1"/>
                <w:spacing w:val="0"/>
                <w:sz w:val="20"/>
                <w:szCs w:val="20"/>
                <w:lang w:eastAsia="en-US"/>
              </w:rPr>
              <w:t>-ти РП   01.07.2024 г.</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F11F763" w14:textId="67EBC8FD" w:rsidR="00A44B92" w:rsidRPr="00773684" w:rsidRDefault="00A44B92" w:rsidP="00A44B92">
            <w:pPr>
              <w:spacing w:line="240" w:lineRule="auto"/>
              <w:jc w:val="center"/>
              <w:rPr>
                <w:rFonts w:eastAsia="Times New Roman" w:cs="Arial"/>
                <w:color w:val="FF0000"/>
                <w:spacing w:val="0"/>
                <w:sz w:val="20"/>
                <w:szCs w:val="20"/>
                <w:lang w:eastAsia="en-US"/>
              </w:rPr>
            </w:pPr>
            <w:r w:rsidRPr="00971B91">
              <w:rPr>
                <w:rFonts w:eastAsia="Times New Roman" w:cs="Arial"/>
                <w:color w:val="000000" w:themeColor="text1"/>
                <w:spacing w:val="0"/>
                <w:sz w:val="20"/>
                <w:szCs w:val="20"/>
                <w:lang w:eastAsia="en-US"/>
              </w:rPr>
              <w:t>Разлика          X</w:t>
            </w:r>
            <w:r w:rsidRPr="00971B91">
              <w:rPr>
                <w:rFonts w:eastAsia="Times New Roman" w:cs="Arial"/>
                <w:color w:val="000000" w:themeColor="text1"/>
                <w:spacing w:val="0"/>
                <w:sz w:val="20"/>
                <w:szCs w:val="20"/>
                <w:lang w:val="en-US" w:eastAsia="en-US"/>
              </w:rPr>
              <w:t>V</w:t>
            </w:r>
            <w:r w:rsidRPr="00971B91">
              <w:rPr>
                <w:rFonts w:eastAsia="Times New Roman" w:cs="Arial"/>
                <w:color w:val="000000" w:themeColor="text1"/>
                <w:spacing w:val="0"/>
                <w:sz w:val="20"/>
                <w:szCs w:val="20"/>
                <w:lang w:eastAsia="en-US"/>
              </w:rPr>
              <w:t xml:space="preserve"> РП – 2023 г.</w:t>
            </w:r>
          </w:p>
        </w:tc>
      </w:tr>
      <w:tr w:rsidR="00934A43" w:rsidRPr="0057086A" w14:paraId="200AD1EC" w14:textId="77777777" w:rsidTr="00A21329">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88683A3" w14:textId="77777777" w:rsidR="00934A43" w:rsidRPr="0057086A" w:rsidRDefault="00934A43" w:rsidP="00934A43">
            <w:pPr>
              <w:spacing w:line="240" w:lineRule="auto"/>
              <w:rPr>
                <w:rFonts w:eastAsia="Times New Roman" w:cs="Arial"/>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B74F9A2" w14:textId="77777777" w:rsidR="00934A43" w:rsidRPr="0057086A" w:rsidRDefault="00934A43" w:rsidP="00934A43">
            <w:pPr>
              <w:spacing w:line="240" w:lineRule="auto"/>
              <w:rPr>
                <w:rFonts w:eastAsia="Times New Roman" w:cs="Arial"/>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hideMark/>
          </w:tcPr>
          <w:p w14:paraId="2199612B" w14:textId="77777777" w:rsidR="00934A43" w:rsidRPr="00773684" w:rsidRDefault="00934A43" w:rsidP="00934A43">
            <w:pPr>
              <w:spacing w:line="240" w:lineRule="auto"/>
              <w:rPr>
                <w:rFonts w:eastAsia="Times New Roman" w:cs="Arial"/>
                <w:color w:val="FF0000"/>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hideMark/>
          </w:tcPr>
          <w:p w14:paraId="143173A2" w14:textId="77777777" w:rsidR="00934A43" w:rsidRPr="00773684" w:rsidRDefault="00934A43" w:rsidP="00934A43">
            <w:pPr>
              <w:spacing w:line="240" w:lineRule="auto"/>
              <w:rPr>
                <w:rFonts w:eastAsia="Times New Roman" w:cs="Arial"/>
                <w:color w:val="FF0000"/>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hideMark/>
          </w:tcPr>
          <w:p w14:paraId="482DCC7E" w14:textId="77777777" w:rsidR="00934A43" w:rsidRPr="00773684" w:rsidRDefault="00934A43" w:rsidP="00934A43">
            <w:pPr>
              <w:spacing w:line="240" w:lineRule="auto"/>
              <w:rPr>
                <w:rFonts w:eastAsia="Times New Roman" w:cs="Arial"/>
                <w:color w:val="FF0000"/>
                <w:spacing w:val="0"/>
                <w:sz w:val="20"/>
                <w:szCs w:val="20"/>
                <w:lang w:eastAsia="en-US"/>
              </w:rPr>
            </w:pPr>
          </w:p>
        </w:tc>
      </w:tr>
      <w:tr w:rsidR="00A44B92" w:rsidRPr="0057086A" w14:paraId="32799AD7" w14:textId="77777777" w:rsidTr="00A21329">
        <w:trPr>
          <w:trHeight w:val="2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3FD89" w14:textId="25051468" w:rsidR="00A44B92" w:rsidRPr="0057086A" w:rsidRDefault="00A44B92" w:rsidP="00A44B92">
            <w:pPr>
              <w:spacing w:line="240" w:lineRule="auto"/>
              <w:rPr>
                <w:rFonts w:eastAsia="Times New Roman" w:cs="Arial"/>
                <w:bCs/>
                <w:spacing w:val="0"/>
                <w:sz w:val="20"/>
                <w:szCs w:val="20"/>
                <w:lang w:eastAsia="en-US"/>
              </w:rPr>
            </w:pPr>
            <w:r w:rsidRPr="0057086A">
              <w:rPr>
                <w:rFonts w:cs="Arial"/>
                <w:bCs/>
                <w:sz w:val="20"/>
                <w:szCs w:val="20"/>
              </w:rPr>
              <w:t>ПРОМЕНЛИВИ  РАЗХОДИ</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C25074" w14:textId="63FC8E42" w:rsidR="00A44B92" w:rsidRPr="0057086A" w:rsidRDefault="00A44B92" w:rsidP="00A44B92">
            <w:pPr>
              <w:spacing w:line="240" w:lineRule="auto"/>
              <w:jc w:val="center"/>
              <w:rPr>
                <w:rFonts w:eastAsia="Times New Roman" w:cs="Arial"/>
                <w:bCs/>
                <w:spacing w:val="0"/>
                <w:sz w:val="20"/>
                <w:szCs w:val="20"/>
                <w:lang w:eastAsia="en-US"/>
              </w:rPr>
            </w:pPr>
            <w:r w:rsidRPr="0057086A">
              <w:rPr>
                <w:rFonts w:cs="Arial"/>
                <w:bCs/>
                <w:sz w:val="20"/>
                <w:szCs w:val="20"/>
              </w:rPr>
              <w:t>хил. лв.</w:t>
            </w:r>
          </w:p>
        </w:tc>
        <w:tc>
          <w:tcPr>
            <w:tcW w:w="0" w:type="auto"/>
            <w:tcBorders>
              <w:top w:val="single" w:sz="4" w:space="0" w:color="auto"/>
              <w:left w:val="nil"/>
              <w:bottom w:val="single" w:sz="4" w:space="0" w:color="auto"/>
              <w:right w:val="single" w:sz="4" w:space="0" w:color="auto"/>
            </w:tcBorders>
            <w:shd w:val="clear" w:color="auto" w:fill="auto"/>
            <w:noWrap/>
            <w:hideMark/>
          </w:tcPr>
          <w:p w14:paraId="06954A43" w14:textId="2945F65A" w:rsidR="00A44B92" w:rsidRPr="000C225C" w:rsidRDefault="000C225C" w:rsidP="00A44B92">
            <w:pPr>
              <w:spacing w:line="240" w:lineRule="auto"/>
              <w:jc w:val="center"/>
              <w:rPr>
                <w:rFonts w:eastAsia="Times New Roman" w:cs="Arial"/>
                <w:bCs/>
                <w:color w:val="FF0000"/>
                <w:spacing w:val="0"/>
                <w:sz w:val="20"/>
                <w:szCs w:val="20"/>
                <w:lang w:val="en-US" w:eastAsia="en-US"/>
              </w:rPr>
            </w:pPr>
            <w:r>
              <w:rPr>
                <w:lang w:val="en-US"/>
              </w:rPr>
              <w:t xml:space="preserve">xxx </w:t>
            </w:r>
            <w:proofErr w:type="spellStart"/>
            <w:r>
              <w:rPr>
                <w:lang w:val="en-US"/>
              </w:rPr>
              <w:t>xxx</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14:paraId="284E90D5" w14:textId="5B1B3E00" w:rsidR="00A44B92" w:rsidRPr="000C225C" w:rsidRDefault="000C225C" w:rsidP="00A44B92">
            <w:pPr>
              <w:spacing w:line="240" w:lineRule="auto"/>
              <w:jc w:val="center"/>
              <w:rPr>
                <w:rFonts w:cs="Arial"/>
                <w:bCs/>
                <w:color w:val="FF0000"/>
                <w:sz w:val="20"/>
                <w:szCs w:val="20"/>
                <w:lang w:val="en-US"/>
              </w:rPr>
            </w:pPr>
            <w:r>
              <w:rPr>
                <w:lang w:val="en-US"/>
              </w:rPr>
              <w:t>xx xxx</w:t>
            </w:r>
          </w:p>
        </w:tc>
        <w:tc>
          <w:tcPr>
            <w:tcW w:w="0" w:type="auto"/>
            <w:tcBorders>
              <w:top w:val="single" w:sz="4" w:space="0" w:color="auto"/>
              <w:left w:val="nil"/>
              <w:bottom w:val="single" w:sz="4" w:space="0" w:color="auto"/>
              <w:right w:val="single" w:sz="4" w:space="0" w:color="auto"/>
            </w:tcBorders>
            <w:shd w:val="clear" w:color="auto" w:fill="auto"/>
            <w:noWrap/>
            <w:hideMark/>
          </w:tcPr>
          <w:p w14:paraId="69170076" w14:textId="37C8B7C5" w:rsidR="00A44B92" w:rsidRPr="000C225C" w:rsidRDefault="00A44B92" w:rsidP="00A44B92">
            <w:pPr>
              <w:rPr>
                <w:rFonts w:cs="Arial"/>
                <w:bCs/>
                <w:color w:val="FF0000"/>
                <w:sz w:val="20"/>
                <w:szCs w:val="20"/>
                <w:lang w:val="en-US"/>
              </w:rPr>
            </w:pPr>
            <w:r w:rsidRPr="00AA59E3">
              <w:t>-</w:t>
            </w:r>
            <w:r w:rsidR="000C225C">
              <w:rPr>
                <w:lang w:val="en-US"/>
              </w:rPr>
              <w:t>xx xxx</w:t>
            </w:r>
          </w:p>
        </w:tc>
      </w:tr>
    </w:tbl>
    <w:p w14:paraId="31E3D1E6" w14:textId="77777777" w:rsidR="00133EF3" w:rsidRPr="0057086A" w:rsidRDefault="00133EF3" w:rsidP="009242AD"/>
    <w:p w14:paraId="22C8752E" w14:textId="2B2C4430" w:rsidR="00825B2D" w:rsidRPr="0057086A" w:rsidRDefault="00825B2D" w:rsidP="00226ECF">
      <w:pPr>
        <w:pStyle w:val="Heading3"/>
        <w:numPr>
          <w:ilvl w:val="3"/>
          <w:numId w:val="12"/>
        </w:numPr>
        <w:tabs>
          <w:tab w:val="clear" w:pos="709"/>
        </w:tabs>
        <w:spacing w:before="240" w:line="240" w:lineRule="auto"/>
        <w:rPr>
          <w:b/>
          <w:sz w:val="20"/>
        </w:rPr>
      </w:pPr>
      <w:r w:rsidRPr="0057086A">
        <w:rPr>
          <w:b/>
          <w:sz w:val="20"/>
        </w:rPr>
        <w:t>Разходи за материали</w:t>
      </w:r>
    </w:p>
    <w:p w14:paraId="45F4ADE4" w14:textId="6E07A4EA" w:rsidR="00C91839" w:rsidRPr="000D4011" w:rsidRDefault="002F2952" w:rsidP="00825B2D">
      <w:pPr>
        <w:ind w:left="709"/>
        <w:rPr>
          <w:color w:val="000000" w:themeColor="text1"/>
        </w:rPr>
      </w:pPr>
      <w:r w:rsidRPr="000D4011">
        <w:rPr>
          <w:color w:val="000000" w:themeColor="text1"/>
        </w:rPr>
        <w:t xml:space="preserve">Наблюдава се </w:t>
      </w:r>
      <w:r w:rsidR="00A960CC" w:rsidRPr="000D4011">
        <w:rPr>
          <w:color w:val="000000" w:themeColor="text1"/>
        </w:rPr>
        <w:t>намаление</w:t>
      </w:r>
      <w:r w:rsidR="00825B2D" w:rsidRPr="000D4011">
        <w:rPr>
          <w:color w:val="000000" w:themeColor="text1"/>
        </w:rPr>
        <w:t xml:space="preserve"> на разходите за материали спрямо базисната 202</w:t>
      </w:r>
      <w:r w:rsidR="00BF0B29" w:rsidRPr="000D4011">
        <w:rPr>
          <w:color w:val="000000" w:themeColor="text1"/>
          <w:lang w:val="en-US"/>
        </w:rPr>
        <w:t>3</w:t>
      </w:r>
      <w:r w:rsidR="00825B2D" w:rsidRPr="000D4011">
        <w:rPr>
          <w:color w:val="000000" w:themeColor="text1"/>
        </w:rPr>
        <w:t xml:space="preserve"> г., в които основна тежест има разходът за природен газ.</w:t>
      </w:r>
    </w:p>
    <w:p w14:paraId="1B8DAD5E" w14:textId="690206B1" w:rsidR="0039140F" w:rsidRPr="000D4011" w:rsidRDefault="00C91839" w:rsidP="00334476">
      <w:pPr>
        <w:ind w:left="709"/>
        <w:rPr>
          <w:color w:val="000000" w:themeColor="text1"/>
        </w:rPr>
      </w:pPr>
      <w:r w:rsidRPr="000D4011">
        <w:rPr>
          <w:color w:val="000000" w:themeColor="text1"/>
        </w:rPr>
        <w:t xml:space="preserve">Прогнозните разходи са калкулирани с цена на природен газ </w:t>
      </w:r>
      <w:r w:rsidR="002B1C25" w:rsidRPr="000D4011">
        <w:rPr>
          <w:color w:val="000000" w:themeColor="text1"/>
        </w:rPr>
        <w:t xml:space="preserve">е базирана на </w:t>
      </w:r>
      <w:proofErr w:type="spellStart"/>
      <w:r w:rsidR="002B1C25" w:rsidRPr="000D4011">
        <w:rPr>
          <w:color w:val="000000" w:themeColor="text1"/>
        </w:rPr>
        <w:t>сетълмент</w:t>
      </w:r>
      <w:proofErr w:type="spellEnd"/>
      <w:r w:rsidR="002B1C25" w:rsidRPr="000D4011">
        <w:rPr>
          <w:color w:val="000000" w:themeColor="text1"/>
        </w:rPr>
        <w:t xml:space="preserve"> цени за финансов фючърс за хъб TTF от ЕЕХ към ден на търговия </w:t>
      </w:r>
      <w:r w:rsidR="00A960CC" w:rsidRPr="000D4011">
        <w:rPr>
          <w:color w:val="000000" w:themeColor="text1"/>
        </w:rPr>
        <w:t>1</w:t>
      </w:r>
      <w:r w:rsidR="00BF0B29" w:rsidRPr="000D4011">
        <w:rPr>
          <w:color w:val="000000" w:themeColor="text1"/>
          <w:lang w:val="en-US"/>
        </w:rPr>
        <w:t>5</w:t>
      </w:r>
      <w:r w:rsidR="002B1C25" w:rsidRPr="000D4011">
        <w:rPr>
          <w:color w:val="000000" w:themeColor="text1"/>
        </w:rPr>
        <w:t>.03.202</w:t>
      </w:r>
      <w:r w:rsidR="00BF0B29" w:rsidRPr="000D4011">
        <w:rPr>
          <w:color w:val="000000" w:themeColor="text1"/>
          <w:lang w:val="en-US"/>
        </w:rPr>
        <w:t>4</w:t>
      </w:r>
      <w:r w:rsidR="002B1C25" w:rsidRPr="000D4011">
        <w:rPr>
          <w:color w:val="000000" w:themeColor="text1"/>
        </w:rPr>
        <w:t xml:space="preserve"> </w:t>
      </w:r>
      <w:hyperlink r:id="rId30" w:history="1">
        <w:proofErr w:type="spellStart"/>
        <w:r w:rsidR="002B1C25" w:rsidRPr="0057086A">
          <w:rPr>
            <w:rStyle w:val="Hyperlink"/>
          </w:rPr>
          <w:t>Financial</w:t>
        </w:r>
        <w:proofErr w:type="spellEnd"/>
        <w:r w:rsidR="002B1C25" w:rsidRPr="0057086A">
          <w:rPr>
            <w:rStyle w:val="Hyperlink"/>
          </w:rPr>
          <w:t xml:space="preserve"> </w:t>
        </w:r>
        <w:proofErr w:type="spellStart"/>
        <w:r w:rsidR="002B1C25" w:rsidRPr="0057086A">
          <w:rPr>
            <w:rStyle w:val="Hyperlink"/>
          </w:rPr>
          <w:t>Futures</w:t>
        </w:r>
        <w:proofErr w:type="spellEnd"/>
        <w:r w:rsidR="002B1C25" w:rsidRPr="0057086A">
          <w:rPr>
            <w:rStyle w:val="Hyperlink"/>
          </w:rPr>
          <w:t xml:space="preserve"> (EGSI) Market Data (eex.com)</w:t>
        </w:r>
      </w:hyperlink>
      <w:r w:rsidR="002B1C25" w:rsidRPr="0057086A">
        <w:t xml:space="preserve"> </w:t>
      </w:r>
      <w:r w:rsidR="002B1C25" w:rsidRPr="000D4011">
        <w:rPr>
          <w:color w:val="000000" w:themeColor="text1"/>
        </w:rPr>
        <w:t>предвид методиката за ценообразуване на Булгаргаз, в която преобладаващ дял има цената за месец-напред на хъб TTF. Използвани са месечни котировки.</w:t>
      </w:r>
    </w:p>
    <w:p w14:paraId="6B1495FB" w14:textId="77777777" w:rsidR="005806DB" w:rsidRPr="000D4011" w:rsidRDefault="005806DB" w:rsidP="00825B2D">
      <w:pPr>
        <w:ind w:left="709"/>
        <w:rPr>
          <w:color w:val="000000" w:themeColor="text1"/>
        </w:rPr>
      </w:pPr>
    </w:p>
    <w:p w14:paraId="0EE99FFB" w14:textId="4EB6527D" w:rsidR="00334476" w:rsidRPr="000D4011" w:rsidRDefault="00334476" w:rsidP="00334476">
      <w:pPr>
        <w:ind w:left="709"/>
        <w:rPr>
          <w:color w:val="000000" w:themeColor="text1"/>
        </w:rPr>
      </w:pPr>
      <w:r w:rsidRPr="000D4011">
        <w:rPr>
          <w:color w:val="000000" w:themeColor="text1"/>
        </w:rPr>
        <w:t xml:space="preserve">Разходите за закупена електрическа енергия са планирани спрямо производствените нужди кореспондиращи с прогнозираните количества топлинна и електрическа енергия за съответния период. Разходите за електрическа енергия са прогнозирани по месеци и по видове напрежение. </w:t>
      </w:r>
    </w:p>
    <w:p w14:paraId="5B6B22C1" w14:textId="33AB2B0A" w:rsidR="00C321C6" w:rsidRPr="000D4011" w:rsidRDefault="00334476" w:rsidP="00334476">
      <w:pPr>
        <w:ind w:left="709"/>
        <w:rPr>
          <w:color w:val="000000" w:themeColor="text1"/>
        </w:rPr>
      </w:pPr>
      <w:r w:rsidRPr="000D4011">
        <w:rPr>
          <w:color w:val="000000" w:themeColor="text1"/>
        </w:rPr>
        <w:t>Консуматор на електрическа енергия високо напрежение е инсталация Когенерация. Консуматори на електрическа енергия средно напрежение са водогрейните котли на площадки ТЕЦ Север и ОЦ Юг. Консуматори на електрическа енергия ниско напрежение са абонатните станции и помпена станция „Марица“.</w:t>
      </w:r>
    </w:p>
    <w:p w14:paraId="29F6A853" w14:textId="493F6E74" w:rsidR="00584830" w:rsidRPr="0057086A" w:rsidRDefault="00584830" w:rsidP="00F7195D">
      <w:pPr>
        <w:ind w:left="709"/>
        <w:rPr>
          <w:color w:val="000000" w:themeColor="text1"/>
        </w:rPr>
      </w:pPr>
    </w:p>
    <w:tbl>
      <w:tblPr>
        <w:tblW w:w="5000" w:type="pct"/>
        <w:tblLook w:val="04A0" w:firstRow="1" w:lastRow="0" w:firstColumn="1" w:lastColumn="0" w:noHBand="0" w:noVBand="1"/>
      </w:tblPr>
      <w:tblGrid>
        <w:gridCol w:w="771"/>
        <w:gridCol w:w="1944"/>
        <w:gridCol w:w="1155"/>
        <w:gridCol w:w="1155"/>
        <w:gridCol w:w="1155"/>
        <w:gridCol w:w="1155"/>
        <w:gridCol w:w="1155"/>
        <w:gridCol w:w="1138"/>
      </w:tblGrid>
      <w:tr w:rsidR="00BF0B29" w:rsidRPr="0057086A" w14:paraId="22DB14B8" w14:textId="77777777" w:rsidTr="00BF0B29">
        <w:trPr>
          <w:trHeight w:val="675"/>
        </w:trPr>
        <w:tc>
          <w:tcPr>
            <w:tcW w:w="140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126961E" w14:textId="77777777" w:rsidR="00BF0B29" w:rsidRPr="0057086A" w:rsidRDefault="00BF0B29" w:rsidP="00BF0B29">
            <w:pPr>
              <w:spacing w:line="240" w:lineRule="auto"/>
              <w:rPr>
                <w:rFonts w:eastAsia="Times New Roman" w:cs="Arial"/>
                <w:color w:val="000000"/>
                <w:spacing w:val="0"/>
                <w:sz w:val="16"/>
                <w:szCs w:val="16"/>
                <w:lang w:val="en-US" w:eastAsia="en-US"/>
              </w:rPr>
            </w:pPr>
          </w:p>
          <w:p w14:paraId="4FF0217C" w14:textId="11A13979" w:rsidR="00BF0B29" w:rsidRPr="0057086A" w:rsidRDefault="00BF0B29" w:rsidP="00BF0B29">
            <w:pPr>
              <w:spacing w:line="240" w:lineRule="auto"/>
              <w:rPr>
                <w:rFonts w:eastAsia="Times New Roman" w:cs="Arial"/>
                <w:color w:val="000000"/>
                <w:spacing w:val="0"/>
                <w:sz w:val="16"/>
                <w:szCs w:val="16"/>
                <w:lang w:eastAsia="en-US"/>
              </w:rPr>
            </w:pPr>
          </w:p>
        </w:tc>
        <w:tc>
          <w:tcPr>
            <w:tcW w:w="600" w:type="pct"/>
            <w:tcBorders>
              <w:top w:val="single" w:sz="4" w:space="0" w:color="auto"/>
              <w:left w:val="single" w:sz="4" w:space="0" w:color="auto"/>
              <w:bottom w:val="single" w:sz="4" w:space="0" w:color="auto"/>
              <w:right w:val="single" w:sz="4" w:space="0" w:color="C0C0C0"/>
            </w:tcBorders>
            <w:shd w:val="clear" w:color="000000" w:fill="FFFFFF"/>
            <w:vAlign w:val="center"/>
            <w:hideMark/>
          </w:tcPr>
          <w:p w14:paraId="4A41752D" w14:textId="62D202CE"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7.2024</w:t>
            </w:r>
          </w:p>
        </w:tc>
        <w:tc>
          <w:tcPr>
            <w:tcW w:w="600" w:type="pct"/>
            <w:tcBorders>
              <w:top w:val="single" w:sz="4" w:space="0" w:color="auto"/>
              <w:left w:val="nil"/>
              <w:bottom w:val="single" w:sz="4" w:space="0" w:color="auto"/>
              <w:right w:val="single" w:sz="4" w:space="0" w:color="C0C0C0"/>
            </w:tcBorders>
            <w:shd w:val="clear" w:color="000000" w:fill="FFFFFF"/>
            <w:vAlign w:val="center"/>
            <w:hideMark/>
          </w:tcPr>
          <w:p w14:paraId="4C39251A" w14:textId="1A6DC93A"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8.2024</w:t>
            </w:r>
          </w:p>
        </w:tc>
        <w:tc>
          <w:tcPr>
            <w:tcW w:w="600" w:type="pct"/>
            <w:tcBorders>
              <w:top w:val="single" w:sz="4" w:space="0" w:color="auto"/>
              <w:left w:val="nil"/>
              <w:bottom w:val="single" w:sz="4" w:space="0" w:color="auto"/>
              <w:right w:val="single" w:sz="4" w:space="0" w:color="C0C0C0"/>
            </w:tcBorders>
            <w:shd w:val="clear" w:color="000000" w:fill="FFFFFF"/>
            <w:vAlign w:val="center"/>
            <w:hideMark/>
          </w:tcPr>
          <w:p w14:paraId="4751238C" w14:textId="634B720C"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9.2024</w:t>
            </w:r>
          </w:p>
        </w:tc>
        <w:tc>
          <w:tcPr>
            <w:tcW w:w="600" w:type="pct"/>
            <w:tcBorders>
              <w:top w:val="single" w:sz="4" w:space="0" w:color="auto"/>
              <w:left w:val="nil"/>
              <w:bottom w:val="single" w:sz="4" w:space="0" w:color="auto"/>
              <w:right w:val="single" w:sz="4" w:space="0" w:color="C0C0C0"/>
            </w:tcBorders>
            <w:shd w:val="clear" w:color="000000" w:fill="FFFFFF"/>
            <w:vAlign w:val="center"/>
            <w:hideMark/>
          </w:tcPr>
          <w:p w14:paraId="0ECD882E" w14:textId="55D875FD"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10.2024</w:t>
            </w:r>
          </w:p>
        </w:tc>
        <w:tc>
          <w:tcPr>
            <w:tcW w:w="600" w:type="pct"/>
            <w:tcBorders>
              <w:top w:val="single" w:sz="4" w:space="0" w:color="auto"/>
              <w:left w:val="nil"/>
              <w:bottom w:val="single" w:sz="4" w:space="0" w:color="auto"/>
              <w:right w:val="single" w:sz="4" w:space="0" w:color="C0C0C0"/>
            </w:tcBorders>
            <w:shd w:val="clear" w:color="000000" w:fill="FFFFFF"/>
            <w:vAlign w:val="center"/>
            <w:hideMark/>
          </w:tcPr>
          <w:p w14:paraId="7DEE09C6" w14:textId="04ADB943"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11.2024</w:t>
            </w:r>
          </w:p>
        </w:tc>
        <w:tc>
          <w:tcPr>
            <w:tcW w:w="592" w:type="pct"/>
            <w:tcBorders>
              <w:top w:val="single" w:sz="4" w:space="0" w:color="auto"/>
              <w:left w:val="nil"/>
              <w:bottom w:val="single" w:sz="4" w:space="0" w:color="auto"/>
              <w:right w:val="single" w:sz="4" w:space="0" w:color="C0C0C0"/>
            </w:tcBorders>
            <w:shd w:val="clear" w:color="000000" w:fill="FFFFFF"/>
            <w:vAlign w:val="center"/>
            <w:hideMark/>
          </w:tcPr>
          <w:p w14:paraId="2FF9F28F" w14:textId="4A40ED86"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12.2024</w:t>
            </w:r>
          </w:p>
        </w:tc>
      </w:tr>
      <w:tr w:rsidR="00BF0B29" w:rsidRPr="0057086A" w14:paraId="767C57EE" w14:textId="77777777" w:rsidTr="00BF0B29">
        <w:trPr>
          <w:trHeight w:val="255"/>
        </w:trPr>
        <w:tc>
          <w:tcPr>
            <w:tcW w:w="400" w:type="pct"/>
            <w:vMerge w:val="restart"/>
            <w:tcBorders>
              <w:top w:val="nil"/>
              <w:left w:val="single" w:sz="4" w:space="0" w:color="auto"/>
              <w:bottom w:val="single" w:sz="4" w:space="0" w:color="000000"/>
              <w:right w:val="single" w:sz="4" w:space="0" w:color="808080"/>
            </w:tcBorders>
            <w:shd w:val="clear" w:color="000000" w:fill="FFFFFF"/>
            <w:vAlign w:val="center"/>
            <w:hideMark/>
          </w:tcPr>
          <w:p w14:paraId="49B6963C" w14:textId="77777777" w:rsidR="00BF0B29" w:rsidRPr="0057086A" w:rsidRDefault="00BF0B29" w:rsidP="00BF0B29">
            <w:pPr>
              <w:spacing w:line="240" w:lineRule="auto"/>
              <w:rPr>
                <w:rFonts w:eastAsia="Times New Roman" w:cs="Arial"/>
                <w:color w:val="000000"/>
                <w:spacing w:val="0"/>
                <w:sz w:val="16"/>
                <w:szCs w:val="16"/>
                <w:lang w:val="en-US" w:eastAsia="en-US"/>
              </w:rPr>
            </w:pPr>
            <w:r w:rsidRPr="0057086A">
              <w:rPr>
                <w:rFonts w:eastAsia="Times New Roman" w:cs="Arial"/>
                <w:color w:val="000000"/>
                <w:spacing w:val="0"/>
                <w:sz w:val="16"/>
                <w:szCs w:val="16"/>
                <w:lang w:val="en-US" w:eastAsia="en-US"/>
              </w:rPr>
              <w:t>ВН</w:t>
            </w:r>
          </w:p>
        </w:tc>
        <w:tc>
          <w:tcPr>
            <w:tcW w:w="1009" w:type="pct"/>
            <w:tcBorders>
              <w:top w:val="nil"/>
              <w:left w:val="nil"/>
              <w:bottom w:val="single" w:sz="4" w:space="0" w:color="C0C0C0"/>
              <w:right w:val="single" w:sz="4" w:space="0" w:color="808080"/>
            </w:tcBorders>
            <w:shd w:val="clear" w:color="000000" w:fill="FFFFFF"/>
            <w:vAlign w:val="center"/>
            <w:hideMark/>
          </w:tcPr>
          <w:p w14:paraId="7CAE48E5" w14:textId="77777777" w:rsidR="00BF0B29" w:rsidRPr="0057086A" w:rsidRDefault="00BF0B29" w:rsidP="00BF0B29">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Количество</w:t>
            </w:r>
            <w:proofErr w:type="spellEnd"/>
            <w:r w:rsidRPr="0057086A">
              <w:rPr>
                <w:rFonts w:eastAsia="Times New Roman" w:cs="Arial"/>
                <w:color w:val="000000"/>
                <w:spacing w:val="0"/>
                <w:sz w:val="16"/>
                <w:szCs w:val="16"/>
                <w:lang w:val="en-US" w:eastAsia="en-US"/>
              </w:rPr>
              <w:t>, kWh</w:t>
            </w:r>
          </w:p>
        </w:tc>
        <w:tc>
          <w:tcPr>
            <w:tcW w:w="600" w:type="pct"/>
            <w:tcBorders>
              <w:top w:val="nil"/>
              <w:left w:val="nil"/>
              <w:bottom w:val="single" w:sz="4" w:space="0" w:color="C0C0C0"/>
              <w:right w:val="single" w:sz="4" w:space="0" w:color="C0C0C0"/>
            </w:tcBorders>
            <w:shd w:val="clear" w:color="auto" w:fill="auto"/>
            <w:vAlign w:val="center"/>
            <w:hideMark/>
          </w:tcPr>
          <w:p w14:paraId="452F75DF" w14:textId="609D50DB"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600" w:type="pct"/>
            <w:tcBorders>
              <w:top w:val="nil"/>
              <w:left w:val="nil"/>
              <w:bottom w:val="single" w:sz="4" w:space="0" w:color="C0C0C0"/>
              <w:right w:val="single" w:sz="4" w:space="0" w:color="C0C0C0"/>
            </w:tcBorders>
            <w:shd w:val="clear" w:color="auto" w:fill="auto"/>
            <w:vAlign w:val="center"/>
            <w:hideMark/>
          </w:tcPr>
          <w:p w14:paraId="48C9CF71" w14:textId="741BAD88"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600" w:type="pct"/>
            <w:tcBorders>
              <w:top w:val="nil"/>
              <w:left w:val="nil"/>
              <w:bottom w:val="single" w:sz="4" w:space="0" w:color="C0C0C0"/>
              <w:right w:val="single" w:sz="4" w:space="0" w:color="C0C0C0"/>
            </w:tcBorders>
            <w:shd w:val="clear" w:color="auto" w:fill="auto"/>
            <w:vAlign w:val="center"/>
            <w:hideMark/>
          </w:tcPr>
          <w:p w14:paraId="0127FD51" w14:textId="13A5E0E0"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600" w:type="pct"/>
            <w:tcBorders>
              <w:top w:val="nil"/>
              <w:left w:val="nil"/>
              <w:bottom w:val="single" w:sz="4" w:space="0" w:color="C0C0C0"/>
              <w:right w:val="single" w:sz="4" w:space="0" w:color="C0C0C0"/>
            </w:tcBorders>
            <w:shd w:val="clear" w:color="auto" w:fill="auto"/>
            <w:vAlign w:val="center"/>
            <w:hideMark/>
          </w:tcPr>
          <w:p w14:paraId="762DC90A" w14:textId="5B8EBDED"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600" w:type="pct"/>
            <w:tcBorders>
              <w:top w:val="nil"/>
              <w:left w:val="nil"/>
              <w:bottom w:val="single" w:sz="4" w:space="0" w:color="C0C0C0"/>
              <w:right w:val="single" w:sz="4" w:space="0" w:color="C0C0C0"/>
            </w:tcBorders>
            <w:shd w:val="clear" w:color="auto" w:fill="auto"/>
            <w:vAlign w:val="center"/>
            <w:hideMark/>
          </w:tcPr>
          <w:p w14:paraId="558682D0" w14:textId="3B1B22E9"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 xxx</w:t>
            </w:r>
          </w:p>
        </w:tc>
        <w:tc>
          <w:tcPr>
            <w:tcW w:w="592" w:type="pct"/>
            <w:tcBorders>
              <w:top w:val="nil"/>
              <w:left w:val="nil"/>
              <w:bottom w:val="single" w:sz="4" w:space="0" w:color="C0C0C0"/>
              <w:right w:val="single" w:sz="4" w:space="0" w:color="C0C0C0"/>
            </w:tcBorders>
            <w:shd w:val="clear" w:color="auto" w:fill="auto"/>
            <w:vAlign w:val="center"/>
            <w:hideMark/>
          </w:tcPr>
          <w:p w14:paraId="24554672" w14:textId="0651531E"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r>
      <w:tr w:rsidR="00BF0B29" w:rsidRPr="0057086A" w14:paraId="35A7F279" w14:textId="77777777" w:rsidTr="00BF0B29">
        <w:trPr>
          <w:trHeight w:val="255"/>
        </w:trPr>
        <w:tc>
          <w:tcPr>
            <w:tcW w:w="400" w:type="pct"/>
            <w:vMerge/>
            <w:tcBorders>
              <w:top w:val="nil"/>
              <w:left w:val="single" w:sz="4" w:space="0" w:color="auto"/>
              <w:bottom w:val="single" w:sz="4" w:space="0" w:color="000000"/>
              <w:right w:val="single" w:sz="4" w:space="0" w:color="808080"/>
            </w:tcBorders>
            <w:vAlign w:val="center"/>
            <w:hideMark/>
          </w:tcPr>
          <w:p w14:paraId="1B464178" w14:textId="77777777" w:rsidR="00BF0B29" w:rsidRPr="0057086A" w:rsidRDefault="00BF0B29" w:rsidP="00BF0B29">
            <w:pPr>
              <w:spacing w:line="240" w:lineRule="auto"/>
              <w:rPr>
                <w:rFonts w:eastAsia="Times New Roman" w:cs="Arial"/>
                <w:color w:val="000000"/>
                <w:spacing w:val="0"/>
                <w:sz w:val="16"/>
                <w:szCs w:val="16"/>
                <w:lang w:val="en-US" w:eastAsia="en-US"/>
              </w:rPr>
            </w:pPr>
          </w:p>
        </w:tc>
        <w:tc>
          <w:tcPr>
            <w:tcW w:w="1009" w:type="pct"/>
            <w:tcBorders>
              <w:top w:val="nil"/>
              <w:left w:val="nil"/>
              <w:bottom w:val="single" w:sz="4" w:space="0" w:color="auto"/>
              <w:right w:val="single" w:sz="4" w:space="0" w:color="808080"/>
            </w:tcBorders>
            <w:shd w:val="clear" w:color="000000" w:fill="FFFFFF"/>
            <w:vAlign w:val="center"/>
            <w:hideMark/>
          </w:tcPr>
          <w:p w14:paraId="714A63BF" w14:textId="77777777" w:rsidR="00BF0B29" w:rsidRPr="0057086A" w:rsidRDefault="00BF0B29" w:rsidP="00BF0B29">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Разход</w:t>
            </w:r>
            <w:proofErr w:type="spellEnd"/>
            <w:r w:rsidRPr="0057086A">
              <w:rPr>
                <w:rFonts w:eastAsia="Times New Roman" w:cs="Arial"/>
                <w:color w:val="000000"/>
                <w:spacing w:val="0"/>
                <w:sz w:val="16"/>
                <w:szCs w:val="16"/>
                <w:lang w:val="en-US" w:eastAsia="en-US"/>
              </w:rPr>
              <w:t xml:space="preserve">, </w:t>
            </w:r>
            <w:proofErr w:type="spellStart"/>
            <w:r w:rsidRPr="0057086A">
              <w:rPr>
                <w:rFonts w:eastAsia="Times New Roman" w:cs="Arial"/>
                <w:color w:val="000000"/>
                <w:spacing w:val="0"/>
                <w:sz w:val="16"/>
                <w:szCs w:val="16"/>
                <w:lang w:val="en-US" w:eastAsia="en-US"/>
              </w:rPr>
              <w:t>лв</w:t>
            </w:r>
            <w:proofErr w:type="spellEnd"/>
            <w:r w:rsidRPr="0057086A">
              <w:rPr>
                <w:rFonts w:eastAsia="Times New Roman" w:cs="Arial"/>
                <w:color w:val="000000"/>
                <w:spacing w:val="0"/>
                <w:sz w:val="16"/>
                <w:szCs w:val="16"/>
                <w:lang w:val="en-US" w:eastAsia="en-US"/>
              </w:rPr>
              <w:t>.</w:t>
            </w:r>
          </w:p>
        </w:tc>
        <w:tc>
          <w:tcPr>
            <w:tcW w:w="600" w:type="pct"/>
            <w:tcBorders>
              <w:top w:val="nil"/>
              <w:left w:val="nil"/>
              <w:bottom w:val="single" w:sz="4" w:space="0" w:color="auto"/>
              <w:right w:val="single" w:sz="4" w:space="0" w:color="C0C0C0"/>
            </w:tcBorders>
            <w:shd w:val="clear" w:color="auto" w:fill="auto"/>
            <w:vAlign w:val="center"/>
            <w:hideMark/>
          </w:tcPr>
          <w:p w14:paraId="4DE17758" w14:textId="75FD1F60" w:rsidR="00BF0B29" w:rsidRPr="0057086A" w:rsidRDefault="000C225C" w:rsidP="00BF0B29">
            <w:pPr>
              <w:spacing w:line="240" w:lineRule="auto"/>
              <w:jc w:val="right"/>
              <w:rPr>
                <w:rFonts w:eastAsia="Times New Roman" w:cs="Tahoma"/>
                <w:spacing w:val="0"/>
                <w:sz w:val="16"/>
                <w:szCs w:val="16"/>
                <w:lang w:val="en-US" w:eastAsia="en-US"/>
              </w:rPr>
            </w:pPr>
            <w:r>
              <w:rPr>
                <w:rFonts w:eastAsia="Times New Roman" w:cs="Tahoma"/>
                <w:spacing w:val="0"/>
                <w:sz w:val="16"/>
                <w:szCs w:val="16"/>
                <w:lang w:val="en-US" w:eastAsia="en-US"/>
              </w:rPr>
              <w:t>x</w:t>
            </w:r>
          </w:p>
        </w:tc>
        <w:tc>
          <w:tcPr>
            <w:tcW w:w="600" w:type="pct"/>
            <w:tcBorders>
              <w:top w:val="nil"/>
              <w:left w:val="nil"/>
              <w:bottom w:val="single" w:sz="4" w:space="0" w:color="auto"/>
              <w:right w:val="single" w:sz="4" w:space="0" w:color="C0C0C0"/>
            </w:tcBorders>
            <w:shd w:val="clear" w:color="auto" w:fill="auto"/>
            <w:vAlign w:val="center"/>
            <w:hideMark/>
          </w:tcPr>
          <w:p w14:paraId="5DAC469B" w14:textId="28C8456D"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600" w:type="pct"/>
            <w:tcBorders>
              <w:top w:val="nil"/>
              <w:left w:val="nil"/>
              <w:bottom w:val="single" w:sz="4" w:space="0" w:color="auto"/>
              <w:right w:val="single" w:sz="4" w:space="0" w:color="C0C0C0"/>
            </w:tcBorders>
            <w:shd w:val="clear" w:color="auto" w:fill="auto"/>
            <w:vAlign w:val="center"/>
            <w:hideMark/>
          </w:tcPr>
          <w:p w14:paraId="351D87C5" w14:textId="22AA93D7"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600" w:type="pct"/>
            <w:tcBorders>
              <w:top w:val="nil"/>
              <w:left w:val="nil"/>
              <w:bottom w:val="single" w:sz="4" w:space="0" w:color="auto"/>
              <w:right w:val="single" w:sz="4" w:space="0" w:color="C0C0C0"/>
            </w:tcBorders>
            <w:shd w:val="clear" w:color="auto" w:fill="auto"/>
            <w:vAlign w:val="center"/>
            <w:hideMark/>
          </w:tcPr>
          <w:p w14:paraId="48EE53C7" w14:textId="79A845D7"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600" w:type="pct"/>
            <w:tcBorders>
              <w:top w:val="nil"/>
              <w:left w:val="nil"/>
              <w:bottom w:val="single" w:sz="4" w:space="0" w:color="auto"/>
              <w:right w:val="single" w:sz="4" w:space="0" w:color="C0C0C0"/>
            </w:tcBorders>
            <w:shd w:val="clear" w:color="auto" w:fill="auto"/>
            <w:vAlign w:val="center"/>
            <w:hideMark/>
          </w:tcPr>
          <w:p w14:paraId="7A10D082" w14:textId="0E19A073"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 xxx</w:t>
            </w:r>
          </w:p>
        </w:tc>
        <w:tc>
          <w:tcPr>
            <w:tcW w:w="592" w:type="pct"/>
            <w:tcBorders>
              <w:top w:val="nil"/>
              <w:left w:val="nil"/>
              <w:bottom w:val="single" w:sz="4" w:space="0" w:color="auto"/>
              <w:right w:val="single" w:sz="4" w:space="0" w:color="C0C0C0"/>
            </w:tcBorders>
            <w:shd w:val="clear" w:color="auto" w:fill="auto"/>
            <w:vAlign w:val="center"/>
            <w:hideMark/>
          </w:tcPr>
          <w:p w14:paraId="721BF58C" w14:textId="43DD0037"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r>
      <w:tr w:rsidR="00BF0B29" w:rsidRPr="0057086A" w14:paraId="39F4916F" w14:textId="77777777" w:rsidTr="00BF0B29">
        <w:trPr>
          <w:trHeight w:val="255"/>
        </w:trPr>
        <w:tc>
          <w:tcPr>
            <w:tcW w:w="400" w:type="pct"/>
            <w:vMerge w:val="restart"/>
            <w:tcBorders>
              <w:top w:val="nil"/>
              <w:left w:val="single" w:sz="4" w:space="0" w:color="auto"/>
              <w:bottom w:val="single" w:sz="4" w:space="0" w:color="000000"/>
              <w:right w:val="single" w:sz="4" w:space="0" w:color="808080"/>
            </w:tcBorders>
            <w:shd w:val="clear" w:color="000000" w:fill="FFFFFF"/>
            <w:vAlign w:val="center"/>
            <w:hideMark/>
          </w:tcPr>
          <w:p w14:paraId="070DD41E" w14:textId="77777777" w:rsidR="00BF0B29" w:rsidRPr="0057086A" w:rsidRDefault="00BF0B29" w:rsidP="00BF0B29">
            <w:pPr>
              <w:spacing w:line="240" w:lineRule="auto"/>
              <w:rPr>
                <w:rFonts w:eastAsia="Times New Roman" w:cs="Arial"/>
                <w:color w:val="000000"/>
                <w:spacing w:val="0"/>
                <w:sz w:val="16"/>
                <w:szCs w:val="16"/>
                <w:lang w:val="en-US" w:eastAsia="en-US"/>
              </w:rPr>
            </w:pPr>
            <w:r w:rsidRPr="0057086A">
              <w:rPr>
                <w:rFonts w:eastAsia="Times New Roman" w:cs="Arial"/>
                <w:color w:val="000000"/>
                <w:spacing w:val="0"/>
                <w:sz w:val="16"/>
                <w:szCs w:val="16"/>
                <w:lang w:val="en-US" w:eastAsia="en-US"/>
              </w:rPr>
              <w:t>СН</w:t>
            </w:r>
          </w:p>
        </w:tc>
        <w:tc>
          <w:tcPr>
            <w:tcW w:w="1009" w:type="pct"/>
            <w:tcBorders>
              <w:top w:val="nil"/>
              <w:left w:val="nil"/>
              <w:bottom w:val="single" w:sz="4" w:space="0" w:color="C0C0C0"/>
              <w:right w:val="single" w:sz="4" w:space="0" w:color="808080"/>
            </w:tcBorders>
            <w:shd w:val="clear" w:color="000000" w:fill="FFFFFF"/>
            <w:vAlign w:val="center"/>
            <w:hideMark/>
          </w:tcPr>
          <w:p w14:paraId="388F334E" w14:textId="77777777" w:rsidR="00BF0B29" w:rsidRPr="0057086A" w:rsidRDefault="00BF0B29" w:rsidP="00BF0B29">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Количество</w:t>
            </w:r>
            <w:proofErr w:type="spellEnd"/>
            <w:r w:rsidRPr="0057086A">
              <w:rPr>
                <w:rFonts w:eastAsia="Times New Roman" w:cs="Arial"/>
                <w:color w:val="000000"/>
                <w:spacing w:val="0"/>
                <w:sz w:val="16"/>
                <w:szCs w:val="16"/>
                <w:lang w:val="en-US" w:eastAsia="en-US"/>
              </w:rPr>
              <w:t>, kWh</w:t>
            </w:r>
          </w:p>
        </w:tc>
        <w:tc>
          <w:tcPr>
            <w:tcW w:w="600" w:type="pct"/>
            <w:tcBorders>
              <w:top w:val="nil"/>
              <w:left w:val="nil"/>
              <w:bottom w:val="single" w:sz="4" w:space="0" w:color="C0C0C0"/>
              <w:right w:val="single" w:sz="4" w:space="0" w:color="C0C0C0"/>
            </w:tcBorders>
            <w:shd w:val="clear" w:color="auto" w:fill="auto"/>
            <w:vAlign w:val="center"/>
            <w:hideMark/>
          </w:tcPr>
          <w:p w14:paraId="68AFF7D9" w14:textId="743B386C"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600" w:type="pct"/>
            <w:tcBorders>
              <w:top w:val="nil"/>
              <w:left w:val="nil"/>
              <w:bottom w:val="single" w:sz="4" w:space="0" w:color="C0C0C0"/>
              <w:right w:val="single" w:sz="4" w:space="0" w:color="C0C0C0"/>
            </w:tcBorders>
            <w:shd w:val="clear" w:color="auto" w:fill="auto"/>
            <w:vAlign w:val="center"/>
            <w:hideMark/>
          </w:tcPr>
          <w:p w14:paraId="41C428BB" w14:textId="41C90E14"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600" w:type="pct"/>
            <w:tcBorders>
              <w:top w:val="nil"/>
              <w:left w:val="nil"/>
              <w:bottom w:val="single" w:sz="4" w:space="0" w:color="C0C0C0"/>
              <w:right w:val="single" w:sz="4" w:space="0" w:color="C0C0C0"/>
            </w:tcBorders>
            <w:shd w:val="clear" w:color="auto" w:fill="auto"/>
            <w:vAlign w:val="center"/>
            <w:hideMark/>
          </w:tcPr>
          <w:p w14:paraId="1D5B732A" w14:textId="2AABABE3"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600" w:type="pct"/>
            <w:tcBorders>
              <w:top w:val="nil"/>
              <w:left w:val="nil"/>
              <w:bottom w:val="single" w:sz="4" w:space="0" w:color="C0C0C0"/>
              <w:right w:val="single" w:sz="4" w:space="0" w:color="C0C0C0"/>
            </w:tcBorders>
            <w:shd w:val="clear" w:color="auto" w:fill="auto"/>
            <w:vAlign w:val="center"/>
            <w:hideMark/>
          </w:tcPr>
          <w:p w14:paraId="585DD4F1" w14:textId="42FF12F2"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600" w:type="pct"/>
            <w:tcBorders>
              <w:top w:val="nil"/>
              <w:left w:val="nil"/>
              <w:bottom w:val="single" w:sz="4" w:space="0" w:color="C0C0C0"/>
              <w:right w:val="single" w:sz="4" w:space="0" w:color="C0C0C0"/>
            </w:tcBorders>
            <w:shd w:val="clear" w:color="auto" w:fill="auto"/>
            <w:vAlign w:val="center"/>
            <w:hideMark/>
          </w:tcPr>
          <w:p w14:paraId="22BF14B8" w14:textId="2DD70248"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592" w:type="pct"/>
            <w:tcBorders>
              <w:top w:val="nil"/>
              <w:left w:val="nil"/>
              <w:bottom w:val="single" w:sz="4" w:space="0" w:color="C0C0C0"/>
              <w:right w:val="single" w:sz="4" w:space="0" w:color="C0C0C0"/>
            </w:tcBorders>
            <w:shd w:val="clear" w:color="auto" w:fill="auto"/>
            <w:vAlign w:val="center"/>
            <w:hideMark/>
          </w:tcPr>
          <w:p w14:paraId="178A914A" w14:textId="72712A8B"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r>
      <w:tr w:rsidR="00BF0B29" w:rsidRPr="0057086A" w14:paraId="7D2DF231" w14:textId="77777777" w:rsidTr="00BF0B29">
        <w:trPr>
          <w:trHeight w:val="255"/>
        </w:trPr>
        <w:tc>
          <w:tcPr>
            <w:tcW w:w="400" w:type="pct"/>
            <w:vMerge/>
            <w:tcBorders>
              <w:top w:val="nil"/>
              <w:left w:val="single" w:sz="4" w:space="0" w:color="auto"/>
              <w:bottom w:val="single" w:sz="4" w:space="0" w:color="000000"/>
              <w:right w:val="single" w:sz="4" w:space="0" w:color="808080"/>
            </w:tcBorders>
            <w:vAlign w:val="center"/>
            <w:hideMark/>
          </w:tcPr>
          <w:p w14:paraId="767C2916" w14:textId="77777777" w:rsidR="00BF0B29" w:rsidRPr="0057086A" w:rsidRDefault="00BF0B29" w:rsidP="00BF0B29">
            <w:pPr>
              <w:spacing w:line="240" w:lineRule="auto"/>
              <w:rPr>
                <w:rFonts w:eastAsia="Times New Roman" w:cs="Arial"/>
                <w:color w:val="000000"/>
                <w:spacing w:val="0"/>
                <w:sz w:val="16"/>
                <w:szCs w:val="16"/>
                <w:lang w:val="en-US" w:eastAsia="en-US"/>
              </w:rPr>
            </w:pPr>
          </w:p>
        </w:tc>
        <w:tc>
          <w:tcPr>
            <w:tcW w:w="1009" w:type="pct"/>
            <w:tcBorders>
              <w:top w:val="nil"/>
              <w:left w:val="nil"/>
              <w:bottom w:val="single" w:sz="4" w:space="0" w:color="auto"/>
              <w:right w:val="single" w:sz="4" w:space="0" w:color="808080"/>
            </w:tcBorders>
            <w:shd w:val="clear" w:color="000000" w:fill="FFFFFF"/>
            <w:vAlign w:val="center"/>
            <w:hideMark/>
          </w:tcPr>
          <w:p w14:paraId="14412210" w14:textId="77777777" w:rsidR="00BF0B29" w:rsidRPr="0057086A" w:rsidRDefault="00BF0B29" w:rsidP="00BF0B29">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Разход</w:t>
            </w:r>
            <w:proofErr w:type="spellEnd"/>
            <w:r w:rsidRPr="0057086A">
              <w:rPr>
                <w:rFonts w:eastAsia="Times New Roman" w:cs="Arial"/>
                <w:color w:val="000000"/>
                <w:spacing w:val="0"/>
                <w:sz w:val="16"/>
                <w:szCs w:val="16"/>
                <w:lang w:val="en-US" w:eastAsia="en-US"/>
              </w:rPr>
              <w:t xml:space="preserve">, </w:t>
            </w:r>
            <w:proofErr w:type="spellStart"/>
            <w:r w:rsidRPr="0057086A">
              <w:rPr>
                <w:rFonts w:eastAsia="Times New Roman" w:cs="Arial"/>
                <w:color w:val="000000"/>
                <w:spacing w:val="0"/>
                <w:sz w:val="16"/>
                <w:szCs w:val="16"/>
                <w:lang w:val="en-US" w:eastAsia="en-US"/>
              </w:rPr>
              <w:t>лв</w:t>
            </w:r>
            <w:proofErr w:type="spellEnd"/>
            <w:r w:rsidRPr="0057086A">
              <w:rPr>
                <w:rFonts w:eastAsia="Times New Roman" w:cs="Arial"/>
                <w:color w:val="000000"/>
                <w:spacing w:val="0"/>
                <w:sz w:val="16"/>
                <w:szCs w:val="16"/>
                <w:lang w:val="en-US" w:eastAsia="en-US"/>
              </w:rPr>
              <w:t>.</w:t>
            </w:r>
          </w:p>
        </w:tc>
        <w:tc>
          <w:tcPr>
            <w:tcW w:w="600" w:type="pct"/>
            <w:tcBorders>
              <w:top w:val="nil"/>
              <w:left w:val="nil"/>
              <w:bottom w:val="single" w:sz="4" w:space="0" w:color="auto"/>
              <w:right w:val="single" w:sz="4" w:space="0" w:color="C0C0C0"/>
            </w:tcBorders>
            <w:shd w:val="clear" w:color="auto" w:fill="auto"/>
            <w:vAlign w:val="center"/>
            <w:hideMark/>
          </w:tcPr>
          <w:p w14:paraId="21C47709" w14:textId="039C0FEA"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600" w:type="pct"/>
            <w:tcBorders>
              <w:top w:val="nil"/>
              <w:left w:val="nil"/>
              <w:bottom w:val="single" w:sz="4" w:space="0" w:color="auto"/>
              <w:right w:val="single" w:sz="4" w:space="0" w:color="C0C0C0"/>
            </w:tcBorders>
            <w:shd w:val="clear" w:color="auto" w:fill="auto"/>
            <w:vAlign w:val="center"/>
            <w:hideMark/>
          </w:tcPr>
          <w:p w14:paraId="09176918" w14:textId="309A3D14"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 xxx</w:t>
            </w:r>
          </w:p>
        </w:tc>
        <w:tc>
          <w:tcPr>
            <w:tcW w:w="600" w:type="pct"/>
            <w:tcBorders>
              <w:top w:val="nil"/>
              <w:left w:val="nil"/>
              <w:bottom w:val="single" w:sz="4" w:space="0" w:color="auto"/>
              <w:right w:val="single" w:sz="4" w:space="0" w:color="C0C0C0"/>
            </w:tcBorders>
            <w:shd w:val="clear" w:color="auto" w:fill="auto"/>
            <w:vAlign w:val="center"/>
            <w:hideMark/>
          </w:tcPr>
          <w:p w14:paraId="62276282" w14:textId="27FD6E2C"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 xxx</w:t>
            </w:r>
          </w:p>
        </w:tc>
        <w:tc>
          <w:tcPr>
            <w:tcW w:w="600" w:type="pct"/>
            <w:tcBorders>
              <w:top w:val="nil"/>
              <w:left w:val="nil"/>
              <w:bottom w:val="single" w:sz="4" w:space="0" w:color="auto"/>
              <w:right w:val="single" w:sz="4" w:space="0" w:color="C0C0C0"/>
            </w:tcBorders>
            <w:shd w:val="clear" w:color="auto" w:fill="auto"/>
            <w:vAlign w:val="center"/>
            <w:hideMark/>
          </w:tcPr>
          <w:p w14:paraId="1BFAF630" w14:textId="3C1610A2"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600" w:type="pct"/>
            <w:tcBorders>
              <w:top w:val="nil"/>
              <w:left w:val="nil"/>
              <w:bottom w:val="single" w:sz="4" w:space="0" w:color="auto"/>
              <w:right w:val="single" w:sz="4" w:space="0" w:color="C0C0C0"/>
            </w:tcBorders>
            <w:shd w:val="clear" w:color="auto" w:fill="auto"/>
            <w:vAlign w:val="center"/>
            <w:hideMark/>
          </w:tcPr>
          <w:p w14:paraId="05C34491" w14:textId="4A43B76B"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592" w:type="pct"/>
            <w:tcBorders>
              <w:top w:val="nil"/>
              <w:left w:val="nil"/>
              <w:bottom w:val="single" w:sz="4" w:space="0" w:color="auto"/>
              <w:right w:val="single" w:sz="4" w:space="0" w:color="C0C0C0"/>
            </w:tcBorders>
            <w:shd w:val="clear" w:color="auto" w:fill="auto"/>
            <w:vAlign w:val="center"/>
            <w:hideMark/>
          </w:tcPr>
          <w:p w14:paraId="2F2A19D6" w14:textId="7E8343BD"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r>
      <w:tr w:rsidR="00BF0B29" w:rsidRPr="0057086A" w14:paraId="60A07DE3" w14:textId="77777777" w:rsidTr="00BF0B29">
        <w:trPr>
          <w:trHeight w:val="255"/>
        </w:trPr>
        <w:tc>
          <w:tcPr>
            <w:tcW w:w="400" w:type="pct"/>
            <w:vMerge w:val="restart"/>
            <w:tcBorders>
              <w:top w:val="nil"/>
              <w:left w:val="single" w:sz="4" w:space="0" w:color="auto"/>
              <w:bottom w:val="single" w:sz="4" w:space="0" w:color="000000"/>
              <w:right w:val="single" w:sz="4" w:space="0" w:color="808080"/>
            </w:tcBorders>
            <w:shd w:val="clear" w:color="000000" w:fill="FFFFFF"/>
            <w:vAlign w:val="center"/>
            <w:hideMark/>
          </w:tcPr>
          <w:p w14:paraId="66B13EA1" w14:textId="77777777" w:rsidR="00BF0B29" w:rsidRPr="0057086A" w:rsidRDefault="00BF0B29" w:rsidP="00BF0B29">
            <w:pPr>
              <w:spacing w:line="240" w:lineRule="auto"/>
              <w:rPr>
                <w:rFonts w:eastAsia="Times New Roman" w:cs="Arial"/>
                <w:color w:val="000000"/>
                <w:spacing w:val="0"/>
                <w:sz w:val="16"/>
                <w:szCs w:val="16"/>
                <w:lang w:val="en-US" w:eastAsia="en-US"/>
              </w:rPr>
            </w:pPr>
            <w:r w:rsidRPr="0057086A">
              <w:rPr>
                <w:rFonts w:eastAsia="Times New Roman" w:cs="Arial"/>
                <w:color w:val="000000"/>
                <w:spacing w:val="0"/>
                <w:sz w:val="16"/>
                <w:szCs w:val="16"/>
                <w:lang w:val="en-US" w:eastAsia="en-US"/>
              </w:rPr>
              <w:t>НН</w:t>
            </w:r>
          </w:p>
        </w:tc>
        <w:tc>
          <w:tcPr>
            <w:tcW w:w="1009" w:type="pct"/>
            <w:tcBorders>
              <w:top w:val="nil"/>
              <w:left w:val="nil"/>
              <w:bottom w:val="single" w:sz="4" w:space="0" w:color="C0C0C0"/>
              <w:right w:val="single" w:sz="4" w:space="0" w:color="808080"/>
            </w:tcBorders>
            <w:shd w:val="clear" w:color="000000" w:fill="FFFFFF"/>
            <w:vAlign w:val="center"/>
            <w:hideMark/>
          </w:tcPr>
          <w:p w14:paraId="38BC9801" w14:textId="77777777" w:rsidR="00BF0B29" w:rsidRPr="0057086A" w:rsidRDefault="00BF0B29" w:rsidP="00BF0B29">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Количество</w:t>
            </w:r>
            <w:proofErr w:type="spellEnd"/>
            <w:r w:rsidRPr="0057086A">
              <w:rPr>
                <w:rFonts w:eastAsia="Times New Roman" w:cs="Arial"/>
                <w:color w:val="000000"/>
                <w:spacing w:val="0"/>
                <w:sz w:val="16"/>
                <w:szCs w:val="16"/>
                <w:lang w:val="en-US" w:eastAsia="en-US"/>
              </w:rPr>
              <w:t>, kWh</w:t>
            </w:r>
          </w:p>
        </w:tc>
        <w:tc>
          <w:tcPr>
            <w:tcW w:w="600" w:type="pct"/>
            <w:tcBorders>
              <w:top w:val="nil"/>
              <w:left w:val="nil"/>
              <w:bottom w:val="single" w:sz="4" w:space="0" w:color="C0C0C0"/>
              <w:right w:val="single" w:sz="4" w:space="0" w:color="C0C0C0"/>
            </w:tcBorders>
            <w:shd w:val="clear" w:color="auto" w:fill="auto"/>
            <w:vAlign w:val="center"/>
            <w:hideMark/>
          </w:tcPr>
          <w:p w14:paraId="36203F52" w14:textId="5F130D3B"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c>
          <w:tcPr>
            <w:tcW w:w="600" w:type="pct"/>
            <w:tcBorders>
              <w:top w:val="nil"/>
              <w:left w:val="nil"/>
              <w:bottom w:val="single" w:sz="4" w:space="0" w:color="C0C0C0"/>
              <w:right w:val="single" w:sz="4" w:space="0" w:color="C0C0C0"/>
            </w:tcBorders>
            <w:shd w:val="clear" w:color="auto" w:fill="auto"/>
            <w:vAlign w:val="center"/>
            <w:hideMark/>
          </w:tcPr>
          <w:p w14:paraId="0E2A0848" w14:textId="2CFA9173"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c>
          <w:tcPr>
            <w:tcW w:w="600" w:type="pct"/>
            <w:tcBorders>
              <w:top w:val="nil"/>
              <w:left w:val="nil"/>
              <w:bottom w:val="single" w:sz="4" w:space="0" w:color="C0C0C0"/>
              <w:right w:val="single" w:sz="4" w:space="0" w:color="C0C0C0"/>
            </w:tcBorders>
            <w:shd w:val="clear" w:color="auto" w:fill="auto"/>
            <w:vAlign w:val="center"/>
            <w:hideMark/>
          </w:tcPr>
          <w:p w14:paraId="7D8C5D50" w14:textId="24ADB461"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c>
          <w:tcPr>
            <w:tcW w:w="600" w:type="pct"/>
            <w:tcBorders>
              <w:top w:val="nil"/>
              <w:left w:val="nil"/>
              <w:bottom w:val="single" w:sz="4" w:space="0" w:color="C0C0C0"/>
              <w:right w:val="single" w:sz="4" w:space="0" w:color="C0C0C0"/>
            </w:tcBorders>
            <w:shd w:val="clear" w:color="auto" w:fill="auto"/>
            <w:vAlign w:val="center"/>
            <w:hideMark/>
          </w:tcPr>
          <w:p w14:paraId="0CE4B7E2" w14:textId="56BC42FC"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600" w:type="pct"/>
            <w:tcBorders>
              <w:top w:val="nil"/>
              <w:left w:val="nil"/>
              <w:bottom w:val="single" w:sz="4" w:space="0" w:color="C0C0C0"/>
              <w:right w:val="single" w:sz="4" w:space="0" w:color="C0C0C0"/>
            </w:tcBorders>
            <w:shd w:val="clear" w:color="auto" w:fill="auto"/>
            <w:vAlign w:val="center"/>
            <w:hideMark/>
          </w:tcPr>
          <w:p w14:paraId="3D6F0948" w14:textId="654356C1"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c>
          <w:tcPr>
            <w:tcW w:w="592" w:type="pct"/>
            <w:tcBorders>
              <w:top w:val="nil"/>
              <w:left w:val="nil"/>
              <w:bottom w:val="single" w:sz="4" w:space="0" w:color="C0C0C0"/>
              <w:right w:val="single" w:sz="4" w:space="0" w:color="C0C0C0"/>
            </w:tcBorders>
            <w:shd w:val="clear" w:color="auto" w:fill="auto"/>
            <w:vAlign w:val="center"/>
            <w:hideMark/>
          </w:tcPr>
          <w:p w14:paraId="67C3E120" w14:textId="6F4E0296"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r>
      <w:tr w:rsidR="00BF0B29" w:rsidRPr="0057086A" w14:paraId="75213E26" w14:textId="77777777" w:rsidTr="00BF0B29">
        <w:trPr>
          <w:trHeight w:val="255"/>
        </w:trPr>
        <w:tc>
          <w:tcPr>
            <w:tcW w:w="400" w:type="pct"/>
            <w:vMerge/>
            <w:tcBorders>
              <w:top w:val="nil"/>
              <w:left w:val="single" w:sz="4" w:space="0" w:color="auto"/>
              <w:bottom w:val="single" w:sz="4" w:space="0" w:color="000000"/>
              <w:right w:val="single" w:sz="4" w:space="0" w:color="808080"/>
            </w:tcBorders>
            <w:vAlign w:val="center"/>
            <w:hideMark/>
          </w:tcPr>
          <w:p w14:paraId="080A5193" w14:textId="77777777" w:rsidR="00BF0B29" w:rsidRPr="0057086A" w:rsidRDefault="00BF0B29" w:rsidP="00BF0B29">
            <w:pPr>
              <w:spacing w:line="240" w:lineRule="auto"/>
              <w:rPr>
                <w:rFonts w:eastAsia="Times New Roman" w:cs="Arial"/>
                <w:color w:val="000000"/>
                <w:spacing w:val="0"/>
                <w:sz w:val="16"/>
                <w:szCs w:val="16"/>
                <w:lang w:val="en-US" w:eastAsia="en-US"/>
              </w:rPr>
            </w:pPr>
          </w:p>
        </w:tc>
        <w:tc>
          <w:tcPr>
            <w:tcW w:w="1009" w:type="pct"/>
            <w:tcBorders>
              <w:top w:val="nil"/>
              <w:left w:val="nil"/>
              <w:bottom w:val="single" w:sz="4" w:space="0" w:color="auto"/>
              <w:right w:val="single" w:sz="4" w:space="0" w:color="808080"/>
            </w:tcBorders>
            <w:shd w:val="clear" w:color="000000" w:fill="FFFFFF"/>
            <w:vAlign w:val="center"/>
            <w:hideMark/>
          </w:tcPr>
          <w:p w14:paraId="0EE81B4B" w14:textId="77777777" w:rsidR="00BF0B29" w:rsidRPr="0057086A" w:rsidRDefault="00BF0B29" w:rsidP="00BF0B29">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Разход</w:t>
            </w:r>
            <w:proofErr w:type="spellEnd"/>
            <w:r w:rsidRPr="0057086A">
              <w:rPr>
                <w:rFonts w:eastAsia="Times New Roman" w:cs="Arial"/>
                <w:color w:val="000000"/>
                <w:spacing w:val="0"/>
                <w:sz w:val="16"/>
                <w:szCs w:val="16"/>
                <w:lang w:val="en-US" w:eastAsia="en-US"/>
              </w:rPr>
              <w:t xml:space="preserve">, </w:t>
            </w:r>
            <w:proofErr w:type="spellStart"/>
            <w:r w:rsidRPr="0057086A">
              <w:rPr>
                <w:rFonts w:eastAsia="Times New Roman" w:cs="Arial"/>
                <w:color w:val="000000"/>
                <w:spacing w:val="0"/>
                <w:sz w:val="16"/>
                <w:szCs w:val="16"/>
                <w:lang w:val="en-US" w:eastAsia="en-US"/>
              </w:rPr>
              <w:t>лв</w:t>
            </w:r>
            <w:proofErr w:type="spellEnd"/>
            <w:r w:rsidRPr="0057086A">
              <w:rPr>
                <w:rFonts w:eastAsia="Times New Roman" w:cs="Arial"/>
                <w:color w:val="000000"/>
                <w:spacing w:val="0"/>
                <w:sz w:val="16"/>
                <w:szCs w:val="16"/>
                <w:lang w:val="en-US" w:eastAsia="en-US"/>
              </w:rPr>
              <w:t>.</w:t>
            </w:r>
          </w:p>
        </w:tc>
        <w:tc>
          <w:tcPr>
            <w:tcW w:w="600" w:type="pct"/>
            <w:tcBorders>
              <w:top w:val="nil"/>
              <w:left w:val="nil"/>
              <w:bottom w:val="single" w:sz="4" w:space="0" w:color="auto"/>
              <w:right w:val="single" w:sz="4" w:space="0" w:color="C0C0C0"/>
            </w:tcBorders>
            <w:shd w:val="clear" w:color="auto" w:fill="auto"/>
            <w:vAlign w:val="center"/>
            <w:hideMark/>
          </w:tcPr>
          <w:p w14:paraId="796BCA22" w14:textId="19BED53A"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600" w:type="pct"/>
            <w:tcBorders>
              <w:top w:val="nil"/>
              <w:left w:val="nil"/>
              <w:bottom w:val="single" w:sz="4" w:space="0" w:color="auto"/>
              <w:right w:val="single" w:sz="4" w:space="0" w:color="C0C0C0"/>
            </w:tcBorders>
            <w:shd w:val="clear" w:color="auto" w:fill="auto"/>
            <w:vAlign w:val="center"/>
            <w:hideMark/>
          </w:tcPr>
          <w:p w14:paraId="37367BE7" w14:textId="622D648F"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600" w:type="pct"/>
            <w:tcBorders>
              <w:top w:val="nil"/>
              <w:left w:val="nil"/>
              <w:bottom w:val="single" w:sz="4" w:space="0" w:color="auto"/>
              <w:right w:val="single" w:sz="4" w:space="0" w:color="C0C0C0"/>
            </w:tcBorders>
            <w:shd w:val="clear" w:color="auto" w:fill="auto"/>
            <w:vAlign w:val="center"/>
            <w:hideMark/>
          </w:tcPr>
          <w:p w14:paraId="403C2901" w14:textId="212357E2"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600" w:type="pct"/>
            <w:tcBorders>
              <w:top w:val="nil"/>
              <w:left w:val="nil"/>
              <w:bottom w:val="single" w:sz="4" w:space="0" w:color="auto"/>
              <w:right w:val="single" w:sz="4" w:space="0" w:color="C0C0C0"/>
            </w:tcBorders>
            <w:shd w:val="clear" w:color="auto" w:fill="auto"/>
            <w:vAlign w:val="center"/>
            <w:hideMark/>
          </w:tcPr>
          <w:p w14:paraId="5EFDEE44" w14:textId="12B4104B"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  xx xxx</w:t>
            </w:r>
          </w:p>
        </w:tc>
        <w:tc>
          <w:tcPr>
            <w:tcW w:w="600" w:type="pct"/>
            <w:tcBorders>
              <w:top w:val="nil"/>
              <w:left w:val="nil"/>
              <w:bottom w:val="single" w:sz="4" w:space="0" w:color="auto"/>
              <w:right w:val="single" w:sz="4" w:space="0" w:color="C0C0C0"/>
            </w:tcBorders>
            <w:shd w:val="clear" w:color="auto" w:fill="auto"/>
            <w:vAlign w:val="center"/>
            <w:hideMark/>
          </w:tcPr>
          <w:p w14:paraId="4EAA9DEA" w14:textId="10E4F0A6"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592" w:type="pct"/>
            <w:tcBorders>
              <w:top w:val="nil"/>
              <w:left w:val="nil"/>
              <w:bottom w:val="single" w:sz="4" w:space="0" w:color="auto"/>
              <w:right w:val="single" w:sz="4" w:space="0" w:color="C0C0C0"/>
            </w:tcBorders>
            <w:shd w:val="clear" w:color="auto" w:fill="auto"/>
            <w:vAlign w:val="center"/>
            <w:hideMark/>
          </w:tcPr>
          <w:p w14:paraId="0278F37A" w14:textId="1E192A2D"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r>
    </w:tbl>
    <w:p w14:paraId="217D3F78" w14:textId="4C598859" w:rsidR="00584830" w:rsidRPr="0057086A" w:rsidRDefault="00584830" w:rsidP="00F7195D">
      <w:pPr>
        <w:ind w:left="709"/>
        <w:rPr>
          <w:color w:val="000000" w:themeColor="text1"/>
          <w:sz w:val="16"/>
          <w:szCs w:val="16"/>
        </w:rPr>
      </w:pPr>
    </w:p>
    <w:tbl>
      <w:tblPr>
        <w:tblW w:w="5000" w:type="pct"/>
        <w:tblLook w:val="04A0" w:firstRow="1" w:lastRow="0" w:firstColumn="1" w:lastColumn="0" w:noHBand="0" w:noVBand="1"/>
      </w:tblPr>
      <w:tblGrid>
        <w:gridCol w:w="1376"/>
        <w:gridCol w:w="1377"/>
        <w:gridCol w:w="1377"/>
        <w:gridCol w:w="1375"/>
        <w:gridCol w:w="1375"/>
        <w:gridCol w:w="1375"/>
        <w:gridCol w:w="1373"/>
      </w:tblGrid>
      <w:tr w:rsidR="00BF0B29" w:rsidRPr="0057086A" w14:paraId="6EC45486" w14:textId="77777777" w:rsidTr="00334476">
        <w:trPr>
          <w:trHeight w:val="675"/>
        </w:trPr>
        <w:tc>
          <w:tcPr>
            <w:tcW w:w="715" w:type="pct"/>
            <w:tcBorders>
              <w:top w:val="single" w:sz="4" w:space="0" w:color="auto"/>
              <w:left w:val="single" w:sz="4" w:space="0" w:color="auto"/>
              <w:bottom w:val="single" w:sz="4" w:space="0" w:color="auto"/>
              <w:right w:val="single" w:sz="4" w:space="0" w:color="C0C0C0"/>
            </w:tcBorders>
            <w:shd w:val="clear" w:color="auto" w:fill="auto"/>
            <w:vAlign w:val="center"/>
            <w:hideMark/>
          </w:tcPr>
          <w:p w14:paraId="0E53CA64" w14:textId="61059378"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1.2025</w:t>
            </w:r>
          </w:p>
        </w:tc>
        <w:tc>
          <w:tcPr>
            <w:tcW w:w="715" w:type="pct"/>
            <w:tcBorders>
              <w:top w:val="single" w:sz="4" w:space="0" w:color="auto"/>
              <w:left w:val="nil"/>
              <w:bottom w:val="single" w:sz="4" w:space="0" w:color="auto"/>
              <w:right w:val="single" w:sz="4" w:space="0" w:color="C0C0C0"/>
            </w:tcBorders>
            <w:shd w:val="clear" w:color="auto" w:fill="auto"/>
            <w:vAlign w:val="center"/>
            <w:hideMark/>
          </w:tcPr>
          <w:p w14:paraId="3F8809A3" w14:textId="05AD2843"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2.2025</w:t>
            </w:r>
          </w:p>
        </w:tc>
        <w:tc>
          <w:tcPr>
            <w:tcW w:w="715" w:type="pct"/>
            <w:tcBorders>
              <w:top w:val="single" w:sz="4" w:space="0" w:color="auto"/>
              <w:left w:val="nil"/>
              <w:bottom w:val="single" w:sz="4" w:space="0" w:color="auto"/>
              <w:right w:val="single" w:sz="4" w:space="0" w:color="C0C0C0"/>
            </w:tcBorders>
            <w:shd w:val="clear" w:color="auto" w:fill="auto"/>
            <w:vAlign w:val="center"/>
            <w:hideMark/>
          </w:tcPr>
          <w:p w14:paraId="60E68B9A" w14:textId="74302928"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3.2025</w:t>
            </w:r>
          </w:p>
        </w:tc>
        <w:tc>
          <w:tcPr>
            <w:tcW w:w="714" w:type="pct"/>
            <w:tcBorders>
              <w:top w:val="single" w:sz="4" w:space="0" w:color="auto"/>
              <w:left w:val="nil"/>
              <w:bottom w:val="single" w:sz="4" w:space="0" w:color="auto"/>
              <w:right w:val="single" w:sz="4" w:space="0" w:color="C0C0C0"/>
            </w:tcBorders>
            <w:shd w:val="clear" w:color="auto" w:fill="auto"/>
            <w:vAlign w:val="center"/>
            <w:hideMark/>
          </w:tcPr>
          <w:p w14:paraId="0786878A" w14:textId="223D1098"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4.2025</w:t>
            </w:r>
          </w:p>
        </w:tc>
        <w:tc>
          <w:tcPr>
            <w:tcW w:w="714" w:type="pct"/>
            <w:tcBorders>
              <w:top w:val="single" w:sz="4" w:space="0" w:color="auto"/>
              <w:left w:val="nil"/>
              <w:bottom w:val="single" w:sz="4" w:space="0" w:color="auto"/>
              <w:right w:val="single" w:sz="4" w:space="0" w:color="C0C0C0"/>
            </w:tcBorders>
            <w:shd w:val="clear" w:color="auto" w:fill="auto"/>
            <w:vAlign w:val="center"/>
            <w:hideMark/>
          </w:tcPr>
          <w:p w14:paraId="4F0A5E85" w14:textId="25523906"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5.2025</w:t>
            </w:r>
          </w:p>
        </w:tc>
        <w:tc>
          <w:tcPr>
            <w:tcW w:w="714" w:type="pct"/>
            <w:tcBorders>
              <w:top w:val="single" w:sz="4" w:space="0" w:color="auto"/>
              <w:left w:val="nil"/>
              <w:bottom w:val="single" w:sz="4" w:space="0" w:color="auto"/>
              <w:right w:val="single" w:sz="4" w:space="0" w:color="C0C0C0"/>
            </w:tcBorders>
            <w:shd w:val="clear" w:color="auto" w:fill="auto"/>
            <w:vAlign w:val="center"/>
            <w:hideMark/>
          </w:tcPr>
          <w:p w14:paraId="5BD906A8" w14:textId="7E58FEB7" w:rsidR="00BF0B29" w:rsidRPr="0057086A" w:rsidRDefault="00BF0B29" w:rsidP="00BF0B29">
            <w:pPr>
              <w:spacing w:line="240" w:lineRule="auto"/>
              <w:jc w:val="right"/>
              <w:rPr>
                <w:rFonts w:eastAsia="Times New Roman" w:cs="Arial"/>
                <w:spacing w:val="0"/>
                <w:sz w:val="16"/>
                <w:szCs w:val="16"/>
                <w:lang w:val="en-US" w:eastAsia="en-US"/>
              </w:rPr>
            </w:pPr>
            <w:r>
              <w:rPr>
                <w:rFonts w:cs="Arial"/>
                <w:sz w:val="16"/>
                <w:szCs w:val="16"/>
              </w:rPr>
              <w:t>6.2025</w:t>
            </w:r>
          </w:p>
        </w:tc>
        <w:tc>
          <w:tcPr>
            <w:tcW w:w="71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FE13BEA" w14:textId="44D44FF1" w:rsidR="00BF0B29" w:rsidRPr="0057086A" w:rsidRDefault="00BF0B29" w:rsidP="00BF0B29">
            <w:pPr>
              <w:spacing w:line="240" w:lineRule="auto"/>
              <w:jc w:val="right"/>
              <w:rPr>
                <w:rFonts w:eastAsia="Times New Roman" w:cs="Arial"/>
                <w:bCs/>
                <w:color w:val="000000"/>
                <w:spacing w:val="0"/>
                <w:sz w:val="16"/>
                <w:szCs w:val="16"/>
                <w:lang w:eastAsia="en-US"/>
              </w:rPr>
            </w:pPr>
            <w:r w:rsidRPr="0057086A">
              <w:rPr>
                <w:rFonts w:eastAsia="Times New Roman" w:cs="Arial"/>
                <w:bCs/>
                <w:color w:val="000000"/>
                <w:spacing w:val="0"/>
                <w:sz w:val="16"/>
                <w:szCs w:val="16"/>
                <w:lang w:eastAsia="en-US"/>
              </w:rPr>
              <w:t>Общо</w:t>
            </w:r>
          </w:p>
        </w:tc>
      </w:tr>
      <w:tr w:rsidR="00BF0B29" w:rsidRPr="0057086A" w14:paraId="4F1F7CAE" w14:textId="77777777" w:rsidTr="00334476">
        <w:trPr>
          <w:trHeight w:val="255"/>
        </w:trPr>
        <w:tc>
          <w:tcPr>
            <w:tcW w:w="715" w:type="pct"/>
            <w:tcBorders>
              <w:top w:val="nil"/>
              <w:left w:val="single" w:sz="4" w:space="0" w:color="auto"/>
              <w:bottom w:val="single" w:sz="4" w:space="0" w:color="C0C0C0"/>
              <w:right w:val="single" w:sz="4" w:space="0" w:color="C0C0C0"/>
            </w:tcBorders>
            <w:shd w:val="clear" w:color="auto" w:fill="auto"/>
            <w:vAlign w:val="center"/>
            <w:hideMark/>
          </w:tcPr>
          <w:p w14:paraId="7CEB94AF" w14:textId="64AE13DE"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 xxx</w:t>
            </w:r>
          </w:p>
        </w:tc>
        <w:tc>
          <w:tcPr>
            <w:tcW w:w="715" w:type="pct"/>
            <w:tcBorders>
              <w:top w:val="nil"/>
              <w:left w:val="nil"/>
              <w:bottom w:val="single" w:sz="4" w:space="0" w:color="C0C0C0"/>
              <w:right w:val="single" w:sz="4" w:space="0" w:color="C0C0C0"/>
            </w:tcBorders>
            <w:shd w:val="clear" w:color="auto" w:fill="auto"/>
            <w:vAlign w:val="center"/>
            <w:hideMark/>
          </w:tcPr>
          <w:p w14:paraId="74B3EF16" w14:textId="76CF841C"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715" w:type="pct"/>
            <w:tcBorders>
              <w:top w:val="nil"/>
              <w:left w:val="nil"/>
              <w:bottom w:val="single" w:sz="4" w:space="0" w:color="C0C0C0"/>
              <w:right w:val="single" w:sz="4" w:space="0" w:color="C0C0C0"/>
            </w:tcBorders>
            <w:shd w:val="clear" w:color="auto" w:fill="auto"/>
            <w:vAlign w:val="center"/>
            <w:hideMark/>
          </w:tcPr>
          <w:p w14:paraId="35E82663" w14:textId="77CFBB1E"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714" w:type="pct"/>
            <w:tcBorders>
              <w:top w:val="nil"/>
              <w:left w:val="nil"/>
              <w:bottom w:val="single" w:sz="4" w:space="0" w:color="C0C0C0"/>
              <w:right w:val="single" w:sz="4" w:space="0" w:color="C0C0C0"/>
            </w:tcBorders>
            <w:shd w:val="clear" w:color="auto" w:fill="auto"/>
            <w:vAlign w:val="center"/>
            <w:hideMark/>
          </w:tcPr>
          <w:p w14:paraId="2615867F" w14:textId="7D15911F"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714" w:type="pct"/>
            <w:tcBorders>
              <w:top w:val="nil"/>
              <w:left w:val="nil"/>
              <w:bottom w:val="single" w:sz="4" w:space="0" w:color="C0C0C0"/>
              <w:right w:val="single" w:sz="4" w:space="0" w:color="C0C0C0"/>
            </w:tcBorders>
            <w:shd w:val="clear" w:color="auto" w:fill="auto"/>
            <w:vAlign w:val="center"/>
            <w:hideMark/>
          </w:tcPr>
          <w:p w14:paraId="22D58A82" w14:textId="25FA31B6"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c>
          <w:tcPr>
            <w:tcW w:w="714" w:type="pct"/>
            <w:tcBorders>
              <w:top w:val="nil"/>
              <w:left w:val="nil"/>
              <w:bottom w:val="single" w:sz="4" w:space="0" w:color="C0C0C0"/>
              <w:right w:val="single" w:sz="4" w:space="0" w:color="C0C0C0"/>
            </w:tcBorders>
            <w:shd w:val="clear" w:color="auto" w:fill="auto"/>
            <w:vAlign w:val="center"/>
            <w:hideMark/>
          </w:tcPr>
          <w:p w14:paraId="752F64EE" w14:textId="0402046C"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713" w:type="pct"/>
            <w:tcBorders>
              <w:top w:val="nil"/>
              <w:left w:val="single" w:sz="4" w:space="0" w:color="auto"/>
              <w:bottom w:val="nil"/>
              <w:right w:val="single" w:sz="4" w:space="0" w:color="auto"/>
            </w:tcBorders>
            <w:shd w:val="clear" w:color="auto" w:fill="auto"/>
            <w:noWrap/>
            <w:vAlign w:val="bottom"/>
            <w:hideMark/>
          </w:tcPr>
          <w:p w14:paraId="363FF825" w14:textId="17CF1942" w:rsidR="00BF0B29" w:rsidRPr="000C225C" w:rsidRDefault="000C225C" w:rsidP="00BF0B29">
            <w:pPr>
              <w:spacing w:line="240" w:lineRule="auto"/>
              <w:jc w:val="right"/>
              <w:rPr>
                <w:rFonts w:cs="Arial"/>
                <w:sz w:val="16"/>
                <w:szCs w:val="16"/>
                <w:lang w:val="en-US" w:eastAsia="bg-BG"/>
              </w:rPr>
            </w:pPr>
            <w:r>
              <w:rPr>
                <w:rFonts w:cs="Arial"/>
                <w:sz w:val="20"/>
                <w:szCs w:val="20"/>
                <w:lang w:val="en-US"/>
              </w:rPr>
              <w:t xml:space="preserve">xxx </w:t>
            </w:r>
            <w:proofErr w:type="spellStart"/>
            <w:r>
              <w:rPr>
                <w:rFonts w:cs="Arial"/>
                <w:sz w:val="20"/>
                <w:szCs w:val="20"/>
                <w:lang w:val="en-US"/>
              </w:rPr>
              <w:t>xxx</w:t>
            </w:r>
            <w:proofErr w:type="spellEnd"/>
          </w:p>
        </w:tc>
      </w:tr>
      <w:tr w:rsidR="00BF0B29" w:rsidRPr="0057086A" w14:paraId="45AE2053" w14:textId="77777777" w:rsidTr="00334476">
        <w:trPr>
          <w:trHeight w:val="255"/>
        </w:trPr>
        <w:tc>
          <w:tcPr>
            <w:tcW w:w="715" w:type="pct"/>
            <w:tcBorders>
              <w:top w:val="nil"/>
              <w:left w:val="single" w:sz="4" w:space="0" w:color="auto"/>
              <w:bottom w:val="single" w:sz="4" w:space="0" w:color="auto"/>
              <w:right w:val="single" w:sz="4" w:space="0" w:color="C0C0C0"/>
            </w:tcBorders>
            <w:shd w:val="clear" w:color="auto" w:fill="auto"/>
            <w:vAlign w:val="center"/>
            <w:hideMark/>
          </w:tcPr>
          <w:p w14:paraId="05FF05DE" w14:textId="7D28D4F6"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 xxx</w:t>
            </w:r>
          </w:p>
        </w:tc>
        <w:tc>
          <w:tcPr>
            <w:tcW w:w="715" w:type="pct"/>
            <w:tcBorders>
              <w:top w:val="nil"/>
              <w:left w:val="nil"/>
              <w:bottom w:val="single" w:sz="4" w:space="0" w:color="auto"/>
              <w:right w:val="single" w:sz="4" w:space="0" w:color="C0C0C0"/>
            </w:tcBorders>
            <w:shd w:val="clear" w:color="auto" w:fill="auto"/>
            <w:vAlign w:val="center"/>
            <w:hideMark/>
          </w:tcPr>
          <w:p w14:paraId="2390C348" w14:textId="7AA5D881"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715" w:type="pct"/>
            <w:tcBorders>
              <w:top w:val="nil"/>
              <w:left w:val="nil"/>
              <w:bottom w:val="single" w:sz="4" w:space="0" w:color="auto"/>
              <w:right w:val="single" w:sz="4" w:space="0" w:color="C0C0C0"/>
            </w:tcBorders>
            <w:shd w:val="clear" w:color="auto" w:fill="auto"/>
            <w:vAlign w:val="center"/>
            <w:hideMark/>
          </w:tcPr>
          <w:p w14:paraId="03A06C63" w14:textId="262681FE"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714" w:type="pct"/>
            <w:tcBorders>
              <w:top w:val="nil"/>
              <w:left w:val="nil"/>
              <w:bottom w:val="single" w:sz="4" w:space="0" w:color="auto"/>
              <w:right w:val="single" w:sz="4" w:space="0" w:color="C0C0C0"/>
            </w:tcBorders>
            <w:shd w:val="clear" w:color="auto" w:fill="auto"/>
            <w:vAlign w:val="center"/>
            <w:hideMark/>
          </w:tcPr>
          <w:p w14:paraId="3C6AD387" w14:textId="28CAB77B"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714" w:type="pct"/>
            <w:tcBorders>
              <w:top w:val="nil"/>
              <w:left w:val="nil"/>
              <w:bottom w:val="single" w:sz="4" w:space="0" w:color="auto"/>
              <w:right w:val="single" w:sz="4" w:space="0" w:color="C0C0C0"/>
            </w:tcBorders>
            <w:shd w:val="clear" w:color="auto" w:fill="auto"/>
            <w:vAlign w:val="center"/>
            <w:hideMark/>
          </w:tcPr>
          <w:p w14:paraId="6941B968" w14:textId="75E8AC3B"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4" w:type="pct"/>
            <w:tcBorders>
              <w:top w:val="nil"/>
              <w:left w:val="nil"/>
              <w:bottom w:val="single" w:sz="4" w:space="0" w:color="auto"/>
              <w:right w:val="single" w:sz="4" w:space="0" w:color="C0C0C0"/>
            </w:tcBorders>
            <w:shd w:val="clear" w:color="auto" w:fill="auto"/>
            <w:vAlign w:val="center"/>
            <w:hideMark/>
          </w:tcPr>
          <w:p w14:paraId="1972C30B" w14:textId="5A8BE565"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x</w:t>
            </w:r>
          </w:p>
        </w:tc>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62B144ED" w14:textId="58802594" w:rsidR="00BF0B29" w:rsidRPr="000C225C" w:rsidRDefault="000C225C" w:rsidP="00BF0B29">
            <w:pPr>
              <w:spacing w:line="240" w:lineRule="auto"/>
              <w:jc w:val="right"/>
              <w:rPr>
                <w:rFonts w:cs="Arial"/>
                <w:sz w:val="16"/>
                <w:szCs w:val="16"/>
                <w:lang w:val="en-US" w:eastAsia="bg-BG"/>
              </w:rPr>
            </w:pPr>
            <w:r>
              <w:rPr>
                <w:rFonts w:cs="Arial"/>
                <w:sz w:val="20"/>
                <w:szCs w:val="20"/>
                <w:lang w:val="en-US"/>
              </w:rPr>
              <w:t>xx xxx</w:t>
            </w:r>
          </w:p>
        </w:tc>
      </w:tr>
      <w:tr w:rsidR="00BF0B29" w:rsidRPr="0057086A" w14:paraId="31C2E58C" w14:textId="77777777" w:rsidTr="00334476">
        <w:trPr>
          <w:trHeight w:val="255"/>
        </w:trPr>
        <w:tc>
          <w:tcPr>
            <w:tcW w:w="715" w:type="pct"/>
            <w:tcBorders>
              <w:top w:val="nil"/>
              <w:left w:val="single" w:sz="4" w:space="0" w:color="auto"/>
              <w:bottom w:val="single" w:sz="4" w:space="0" w:color="C0C0C0"/>
              <w:right w:val="single" w:sz="4" w:space="0" w:color="C0C0C0"/>
            </w:tcBorders>
            <w:shd w:val="clear" w:color="auto" w:fill="auto"/>
            <w:vAlign w:val="center"/>
            <w:hideMark/>
          </w:tcPr>
          <w:p w14:paraId="441ADD07" w14:textId="7B6E0076" w:rsidR="00BF0B29" w:rsidRPr="000C225C" w:rsidRDefault="000C225C"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c>
          <w:tcPr>
            <w:tcW w:w="715" w:type="pct"/>
            <w:tcBorders>
              <w:top w:val="nil"/>
              <w:left w:val="nil"/>
              <w:bottom w:val="single" w:sz="4" w:space="0" w:color="C0C0C0"/>
              <w:right w:val="single" w:sz="4" w:space="0" w:color="C0C0C0"/>
            </w:tcBorders>
            <w:shd w:val="clear" w:color="auto" w:fill="auto"/>
            <w:vAlign w:val="center"/>
            <w:hideMark/>
          </w:tcPr>
          <w:p w14:paraId="559E3D51" w14:textId="530D4E43"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5" w:type="pct"/>
            <w:tcBorders>
              <w:top w:val="nil"/>
              <w:left w:val="nil"/>
              <w:bottom w:val="single" w:sz="4" w:space="0" w:color="C0C0C0"/>
              <w:right w:val="single" w:sz="4" w:space="0" w:color="C0C0C0"/>
            </w:tcBorders>
            <w:shd w:val="clear" w:color="auto" w:fill="auto"/>
            <w:vAlign w:val="center"/>
            <w:hideMark/>
          </w:tcPr>
          <w:p w14:paraId="32A33C38" w14:textId="0783E450"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4" w:type="pct"/>
            <w:tcBorders>
              <w:top w:val="nil"/>
              <w:left w:val="nil"/>
              <w:bottom w:val="single" w:sz="4" w:space="0" w:color="C0C0C0"/>
              <w:right w:val="single" w:sz="4" w:space="0" w:color="C0C0C0"/>
            </w:tcBorders>
            <w:shd w:val="clear" w:color="auto" w:fill="auto"/>
            <w:vAlign w:val="center"/>
            <w:hideMark/>
          </w:tcPr>
          <w:p w14:paraId="3B4A0A7C" w14:textId="6CBD6DEC"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4" w:type="pct"/>
            <w:tcBorders>
              <w:top w:val="nil"/>
              <w:left w:val="nil"/>
              <w:bottom w:val="single" w:sz="4" w:space="0" w:color="C0C0C0"/>
              <w:right w:val="single" w:sz="4" w:space="0" w:color="C0C0C0"/>
            </w:tcBorders>
            <w:shd w:val="clear" w:color="auto" w:fill="auto"/>
            <w:vAlign w:val="center"/>
            <w:hideMark/>
          </w:tcPr>
          <w:p w14:paraId="2280FE3B" w14:textId="738A63A5"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4" w:type="pct"/>
            <w:tcBorders>
              <w:top w:val="nil"/>
              <w:left w:val="nil"/>
              <w:bottom w:val="single" w:sz="4" w:space="0" w:color="C0C0C0"/>
              <w:right w:val="single" w:sz="4" w:space="0" w:color="C0C0C0"/>
            </w:tcBorders>
            <w:shd w:val="clear" w:color="auto" w:fill="auto"/>
            <w:vAlign w:val="center"/>
            <w:hideMark/>
          </w:tcPr>
          <w:p w14:paraId="49A5E657" w14:textId="0DBD8842"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3" w:type="pct"/>
            <w:tcBorders>
              <w:top w:val="nil"/>
              <w:left w:val="single" w:sz="4" w:space="0" w:color="auto"/>
              <w:bottom w:val="nil"/>
              <w:right w:val="single" w:sz="4" w:space="0" w:color="auto"/>
            </w:tcBorders>
            <w:shd w:val="clear" w:color="auto" w:fill="auto"/>
            <w:noWrap/>
            <w:vAlign w:val="bottom"/>
            <w:hideMark/>
          </w:tcPr>
          <w:p w14:paraId="7C826753" w14:textId="75A8BCA2" w:rsidR="00BF0B29" w:rsidRPr="004862A5" w:rsidRDefault="004862A5" w:rsidP="00BF0B29">
            <w:pPr>
              <w:spacing w:line="240" w:lineRule="auto"/>
              <w:jc w:val="right"/>
              <w:rPr>
                <w:rFonts w:cs="Arial"/>
                <w:sz w:val="16"/>
                <w:szCs w:val="16"/>
                <w:lang w:val="en-US" w:eastAsia="bg-BG"/>
              </w:rPr>
            </w:pPr>
            <w:r>
              <w:rPr>
                <w:rFonts w:cs="Arial"/>
                <w:sz w:val="20"/>
                <w:szCs w:val="20"/>
                <w:lang w:val="en-US"/>
              </w:rPr>
              <w:t xml:space="preserve">xxx </w:t>
            </w:r>
            <w:proofErr w:type="spellStart"/>
            <w:r>
              <w:rPr>
                <w:rFonts w:cs="Arial"/>
                <w:sz w:val="20"/>
                <w:szCs w:val="20"/>
                <w:lang w:val="en-US"/>
              </w:rPr>
              <w:t>xxx</w:t>
            </w:r>
            <w:proofErr w:type="spellEnd"/>
          </w:p>
        </w:tc>
      </w:tr>
      <w:tr w:rsidR="00BF0B29" w:rsidRPr="0057086A" w14:paraId="26B84229" w14:textId="77777777" w:rsidTr="00334476">
        <w:trPr>
          <w:trHeight w:val="255"/>
        </w:trPr>
        <w:tc>
          <w:tcPr>
            <w:tcW w:w="715" w:type="pct"/>
            <w:tcBorders>
              <w:top w:val="nil"/>
              <w:left w:val="single" w:sz="4" w:space="0" w:color="auto"/>
              <w:bottom w:val="single" w:sz="4" w:space="0" w:color="auto"/>
              <w:right w:val="single" w:sz="4" w:space="0" w:color="C0C0C0"/>
            </w:tcBorders>
            <w:shd w:val="clear" w:color="auto" w:fill="auto"/>
            <w:vAlign w:val="center"/>
            <w:hideMark/>
          </w:tcPr>
          <w:p w14:paraId="1CECF238" w14:textId="43ED618D"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5" w:type="pct"/>
            <w:tcBorders>
              <w:top w:val="nil"/>
              <w:left w:val="nil"/>
              <w:bottom w:val="single" w:sz="4" w:space="0" w:color="auto"/>
              <w:right w:val="single" w:sz="4" w:space="0" w:color="C0C0C0"/>
            </w:tcBorders>
            <w:shd w:val="clear" w:color="auto" w:fill="auto"/>
            <w:vAlign w:val="center"/>
            <w:hideMark/>
          </w:tcPr>
          <w:p w14:paraId="49151753" w14:textId="74415606"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5" w:type="pct"/>
            <w:tcBorders>
              <w:top w:val="nil"/>
              <w:left w:val="nil"/>
              <w:bottom w:val="single" w:sz="4" w:space="0" w:color="auto"/>
              <w:right w:val="single" w:sz="4" w:space="0" w:color="C0C0C0"/>
            </w:tcBorders>
            <w:shd w:val="clear" w:color="auto" w:fill="auto"/>
            <w:vAlign w:val="center"/>
            <w:hideMark/>
          </w:tcPr>
          <w:p w14:paraId="492CA1D8" w14:textId="7CC57A21"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4" w:type="pct"/>
            <w:tcBorders>
              <w:top w:val="nil"/>
              <w:left w:val="nil"/>
              <w:bottom w:val="single" w:sz="4" w:space="0" w:color="auto"/>
              <w:right w:val="single" w:sz="4" w:space="0" w:color="C0C0C0"/>
            </w:tcBorders>
            <w:shd w:val="clear" w:color="auto" w:fill="auto"/>
            <w:vAlign w:val="center"/>
            <w:hideMark/>
          </w:tcPr>
          <w:p w14:paraId="5049BB60" w14:textId="7A7AE944"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 xxx</w:t>
            </w:r>
          </w:p>
        </w:tc>
        <w:tc>
          <w:tcPr>
            <w:tcW w:w="714" w:type="pct"/>
            <w:tcBorders>
              <w:top w:val="nil"/>
              <w:left w:val="nil"/>
              <w:bottom w:val="single" w:sz="4" w:space="0" w:color="auto"/>
              <w:right w:val="single" w:sz="4" w:space="0" w:color="C0C0C0"/>
            </w:tcBorders>
            <w:shd w:val="clear" w:color="auto" w:fill="auto"/>
            <w:vAlign w:val="center"/>
            <w:hideMark/>
          </w:tcPr>
          <w:p w14:paraId="37A63EE6" w14:textId="51CAC1F6"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4" w:type="pct"/>
            <w:tcBorders>
              <w:top w:val="nil"/>
              <w:left w:val="nil"/>
              <w:bottom w:val="single" w:sz="4" w:space="0" w:color="auto"/>
              <w:right w:val="single" w:sz="4" w:space="0" w:color="C0C0C0"/>
            </w:tcBorders>
            <w:shd w:val="clear" w:color="auto" w:fill="auto"/>
            <w:vAlign w:val="center"/>
            <w:hideMark/>
          </w:tcPr>
          <w:p w14:paraId="7FC7BC0B" w14:textId="75C3D041"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 xxx</w:t>
            </w:r>
          </w:p>
        </w:tc>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2C85DE92" w14:textId="3AB3CA3A" w:rsidR="00BF0B29" w:rsidRPr="004862A5" w:rsidRDefault="004862A5" w:rsidP="00BF0B29">
            <w:pPr>
              <w:spacing w:line="240" w:lineRule="auto"/>
              <w:jc w:val="right"/>
              <w:rPr>
                <w:rFonts w:cs="Arial"/>
                <w:sz w:val="16"/>
                <w:szCs w:val="16"/>
                <w:lang w:val="en-US" w:eastAsia="bg-BG"/>
              </w:rPr>
            </w:pPr>
            <w:r>
              <w:rPr>
                <w:rFonts w:cs="Arial"/>
                <w:sz w:val="20"/>
                <w:szCs w:val="20"/>
                <w:lang w:val="en-US"/>
              </w:rPr>
              <w:t xml:space="preserve">xxx </w:t>
            </w:r>
            <w:proofErr w:type="spellStart"/>
            <w:r>
              <w:rPr>
                <w:rFonts w:cs="Arial"/>
                <w:sz w:val="20"/>
                <w:szCs w:val="20"/>
                <w:lang w:val="en-US"/>
              </w:rPr>
              <w:t>xxx</w:t>
            </w:r>
            <w:proofErr w:type="spellEnd"/>
          </w:p>
        </w:tc>
      </w:tr>
      <w:tr w:rsidR="00BF0B29" w:rsidRPr="0057086A" w14:paraId="2BFD0357" w14:textId="77777777" w:rsidTr="00334476">
        <w:trPr>
          <w:trHeight w:val="255"/>
        </w:trPr>
        <w:tc>
          <w:tcPr>
            <w:tcW w:w="715" w:type="pct"/>
            <w:tcBorders>
              <w:top w:val="nil"/>
              <w:left w:val="single" w:sz="4" w:space="0" w:color="auto"/>
              <w:bottom w:val="single" w:sz="4" w:space="0" w:color="C0C0C0"/>
              <w:right w:val="single" w:sz="4" w:space="0" w:color="C0C0C0"/>
            </w:tcBorders>
            <w:shd w:val="clear" w:color="auto" w:fill="auto"/>
            <w:vAlign w:val="center"/>
            <w:hideMark/>
          </w:tcPr>
          <w:p w14:paraId="05CEDE70" w14:textId="6F62607A"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lastRenderedPageBreak/>
              <w:t xml:space="preserve">xxx </w:t>
            </w:r>
            <w:proofErr w:type="spellStart"/>
            <w:r>
              <w:rPr>
                <w:rFonts w:cs="Arial"/>
                <w:sz w:val="16"/>
                <w:szCs w:val="16"/>
                <w:lang w:val="en-US"/>
              </w:rPr>
              <w:t>xxx</w:t>
            </w:r>
            <w:proofErr w:type="spellEnd"/>
          </w:p>
        </w:tc>
        <w:tc>
          <w:tcPr>
            <w:tcW w:w="715" w:type="pct"/>
            <w:tcBorders>
              <w:top w:val="nil"/>
              <w:left w:val="nil"/>
              <w:bottom w:val="single" w:sz="4" w:space="0" w:color="C0C0C0"/>
              <w:right w:val="single" w:sz="4" w:space="0" w:color="C0C0C0"/>
            </w:tcBorders>
            <w:shd w:val="clear" w:color="auto" w:fill="auto"/>
            <w:vAlign w:val="center"/>
            <w:hideMark/>
          </w:tcPr>
          <w:p w14:paraId="6C38235C" w14:textId="725D8265"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c>
          <w:tcPr>
            <w:tcW w:w="715" w:type="pct"/>
            <w:tcBorders>
              <w:top w:val="nil"/>
              <w:left w:val="nil"/>
              <w:bottom w:val="single" w:sz="4" w:space="0" w:color="C0C0C0"/>
              <w:right w:val="single" w:sz="4" w:space="0" w:color="C0C0C0"/>
            </w:tcBorders>
            <w:shd w:val="clear" w:color="auto" w:fill="auto"/>
            <w:vAlign w:val="center"/>
            <w:hideMark/>
          </w:tcPr>
          <w:p w14:paraId="40B174DC" w14:textId="2EC1303C"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c>
          <w:tcPr>
            <w:tcW w:w="714" w:type="pct"/>
            <w:tcBorders>
              <w:top w:val="nil"/>
              <w:left w:val="nil"/>
              <w:bottom w:val="single" w:sz="4" w:space="0" w:color="C0C0C0"/>
              <w:right w:val="single" w:sz="4" w:space="0" w:color="C0C0C0"/>
            </w:tcBorders>
            <w:shd w:val="clear" w:color="auto" w:fill="auto"/>
            <w:vAlign w:val="center"/>
            <w:hideMark/>
          </w:tcPr>
          <w:p w14:paraId="72DD0040" w14:textId="1CBAAC9F"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c>
          <w:tcPr>
            <w:tcW w:w="714" w:type="pct"/>
            <w:tcBorders>
              <w:top w:val="nil"/>
              <w:left w:val="nil"/>
              <w:bottom w:val="single" w:sz="4" w:space="0" w:color="C0C0C0"/>
              <w:right w:val="single" w:sz="4" w:space="0" w:color="C0C0C0"/>
            </w:tcBorders>
            <w:shd w:val="clear" w:color="auto" w:fill="auto"/>
            <w:vAlign w:val="center"/>
            <w:hideMark/>
          </w:tcPr>
          <w:p w14:paraId="235F7968" w14:textId="2A96E2E4"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4" w:type="pct"/>
            <w:tcBorders>
              <w:top w:val="nil"/>
              <w:left w:val="nil"/>
              <w:bottom w:val="single" w:sz="4" w:space="0" w:color="C0C0C0"/>
              <w:right w:val="single" w:sz="4" w:space="0" w:color="C0C0C0"/>
            </w:tcBorders>
            <w:shd w:val="clear" w:color="auto" w:fill="auto"/>
            <w:vAlign w:val="center"/>
            <w:hideMark/>
          </w:tcPr>
          <w:p w14:paraId="20C162D3" w14:textId="01C102A6"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c>
          <w:tcPr>
            <w:tcW w:w="713" w:type="pct"/>
            <w:tcBorders>
              <w:top w:val="nil"/>
              <w:left w:val="single" w:sz="4" w:space="0" w:color="auto"/>
              <w:bottom w:val="nil"/>
              <w:right w:val="single" w:sz="4" w:space="0" w:color="auto"/>
            </w:tcBorders>
            <w:shd w:val="clear" w:color="auto" w:fill="auto"/>
            <w:noWrap/>
            <w:vAlign w:val="bottom"/>
            <w:hideMark/>
          </w:tcPr>
          <w:p w14:paraId="35F8FC8A" w14:textId="0B9B4D00" w:rsidR="00BF0B29" w:rsidRPr="004862A5" w:rsidRDefault="004862A5" w:rsidP="00BF0B29">
            <w:pPr>
              <w:spacing w:line="240" w:lineRule="auto"/>
              <w:jc w:val="right"/>
              <w:rPr>
                <w:rFonts w:cs="Arial"/>
                <w:sz w:val="16"/>
                <w:szCs w:val="16"/>
                <w:lang w:val="en-US" w:eastAsia="bg-BG"/>
              </w:rPr>
            </w:pPr>
            <w:r>
              <w:rPr>
                <w:rFonts w:cs="Arial"/>
                <w:sz w:val="20"/>
                <w:szCs w:val="20"/>
                <w:lang w:val="en-US"/>
              </w:rPr>
              <w:t xml:space="preserve">x xxx </w:t>
            </w:r>
            <w:proofErr w:type="spellStart"/>
            <w:r>
              <w:rPr>
                <w:rFonts w:cs="Arial"/>
                <w:sz w:val="20"/>
                <w:szCs w:val="20"/>
                <w:lang w:val="en-US"/>
              </w:rPr>
              <w:t>xxx</w:t>
            </w:r>
            <w:proofErr w:type="spellEnd"/>
          </w:p>
        </w:tc>
      </w:tr>
      <w:tr w:rsidR="00BF0B29" w:rsidRPr="0057086A" w14:paraId="191304C7" w14:textId="77777777" w:rsidTr="00334476">
        <w:trPr>
          <w:trHeight w:val="255"/>
        </w:trPr>
        <w:tc>
          <w:tcPr>
            <w:tcW w:w="715" w:type="pct"/>
            <w:tcBorders>
              <w:top w:val="nil"/>
              <w:left w:val="single" w:sz="4" w:space="0" w:color="auto"/>
              <w:bottom w:val="single" w:sz="4" w:space="0" w:color="auto"/>
              <w:right w:val="single" w:sz="4" w:space="0" w:color="C0C0C0"/>
            </w:tcBorders>
            <w:shd w:val="clear" w:color="auto" w:fill="auto"/>
            <w:vAlign w:val="center"/>
            <w:hideMark/>
          </w:tcPr>
          <w:p w14:paraId="2475E5D7" w14:textId="60A2B969"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 xx xxx</w:t>
            </w:r>
          </w:p>
        </w:tc>
        <w:tc>
          <w:tcPr>
            <w:tcW w:w="715" w:type="pct"/>
            <w:tcBorders>
              <w:top w:val="nil"/>
              <w:left w:val="nil"/>
              <w:bottom w:val="single" w:sz="4" w:space="0" w:color="auto"/>
              <w:right w:val="single" w:sz="4" w:space="0" w:color="C0C0C0"/>
            </w:tcBorders>
            <w:shd w:val="clear" w:color="auto" w:fill="auto"/>
            <w:vAlign w:val="center"/>
            <w:hideMark/>
          </w:tcPr>
          <w:p w14:paraId="59FF3CA6" w14:textId="139EA9B0"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5" w:type="pct"/>
            <w:tcBorders>
              <w:top w:val="nil"/>
              <w:left w:val="nil"/>
              <w:bottom w:val="single" w:sz="4" w:space="0" w:color="auto"/>
              <w:right w:val="single" w:sz="4" w:space="0" w:color="C0C0C0"/>
            </w:tcBorders>
            <w:shd w:val="clear" w:color="auto" w:fill="auto"/>
            <w:vAlign w:val="center"/>
            <w:hideMark/>
          </w:tcPr>
          <w:p w14:paraId="2FC69A73" w14:textId="2D4D9AC4"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4" w:type="pct"/>
            <w:tcBorders>
              <w:top w:val="nil"/>
              <w:left w:val="nil"/>
              <w:bottom w:val="single" w:sz="4" w:space="0" w:color="auto"/>
              <w:right w:val="single" w:sz="4" w:space="0" w:color="C0C0C0"/>
            </w:tcBorders>
            <w:shd w:val="clear" w:color="auto" w:fill="auto"/>
            <w:vAlign w:val="center"/>
            <w:hideMark/>
          </w:tcPr>
          <w:p w14:paraId="71200810" w14:textId="6B8C1136"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 xml:space="preserve"> xx xxx</w:t>
            </w:r>
          </w:p>
        </w:tc>
        <w:tc>
          <w:tcPr>
            <w:tcW w:w="714" w:type="pct"/>
            <w:tcBorders>
              <w:top w:val="nil"/>
              <w:left w:val="nil"/>
              <w:bottom w:val="single" w:sz="4" w:space="0" w:color="auto"/>
              <w:right w:val="single" w:sz="4" w:space="0" w:color="C0C0C0"/>
            </w:tcBorders>
            <w:shd w:val="clear" w:color="auto" w:fill="auto"/>
            <w:vAlign w:val="center"/>
            <w:hideMark/>
          </w:tcPr>
          <w:p w14:paraId="74E2494B" w14:textId="4A0BEA03"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4" w:type="pct"/>
            <w:tcBorders>
              <w:top w:val="nil"/>
              <w:left w:val="nil"/>
              <w:bottom w:val="single" w:sz="4" w:space="0" w:color="auto"/>
              <w:right w:val="single" w:sz="4" w:space="0" w:color="C0C0C0"/>
            </w:tcBorders>
            <w:shd w:val="clear" w:color="auto" w:fill="auto"/>
            <w:vAlign w:val="center"/>
            <w:hideMark/>
          </w:tcPr>
          <w:p w14:paraId="2822A946" w14:textId="2025404C" w:rsidR="00BF0B29" w:rsidRPr="004862A5" w:rsidRDefault="004862A5" w:rsidP="00BF0B29">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54C4B2FA" w14:textId="61D8461C" w:rsidR="00BF0B29" w:rsidRPr="004862A5" w:rsidRDefault="004862A5" w:rsidP="00BF0B29">
            <w:pPr>
              <w:spacing w:line="240" w:lineRule="auto"/>
              <w:jc w:val="right"/>
              <w:rPr>
                <w:rFonts w:cs="Arial"/>
                <w:sz w:val="16"/>
                <w:szCs w:val="16"/>
                <w:lang w:val="en-US" w:eastAsia="bg-BG"/>
              </w:rPr>
            </w:pPr>
            <w:r>
              <w:rPr>
                <w:rFonts w:cs="Arial"/>
                <w:sz w:val="20"/>
                <w:szCs w:val="20"/>
                <w:lang w:val="en-US"/>
              </w:rPr>
              <w:t xml:space="preserve">xxx </w:t>
            </w:r>
            <w:proofErr w:type="spellStart"/>
            <w:r>
              <w:rPr>
                <w:rFonts w:cs="Arial"/>
                <w:sz w:val="20"/>
                <w:szCs w:val="20"/>
                <w:lang w:val="en-US"/>
              </w:rPr>
              <w:t>xxx</w:t>
            </w:r>
            <w:proofErr w:type="spellEnd"/>
          </w:p>
        </w:tc>
      </w:tr>
    </w:tbl>
    <w:p w14:paraId="371572A4" w14:textId="231FCD4A" w:rsidR="00584830" w:rsidRPr="0057086A" w:rsidRDefault="00584830" w:rsidP="00F7195D">
      <w:pPr>
        <w:ind w:left="709"/>
        <w:rPr>
          <w:color w:val="000000" w:themeColor="text1"/>
        </w:rPr>
      </w:pPr>
    </w:p>
    <w:p w14:paraId="64C05901" w14:textId="43875A14" w:rsidR="00CD0E4E" w:rsidRDefault="00173AE1" w:rsidP="00825B2D">
      <w:pPr>
        <w:ind w:left="709"/>
        <w:rPr>
          <w:color w:val="000000" w:themeColor="text1"/>
        </w:rPr>
      </w:pPr>
      <w:r w:rsidRPr="008600AA">
        <w:rPr>
          <w:color w:val="000000" w:themeColor="text1"/>
        </w:rPr>
        <w:t xml:space="preserve">Разходите за вода за производството са планирани спрямо производствените нужди кореспондиращи на прогнозираните количества топлинна и електрическа енергия за съответния период. Разходите за вода са планирани по месеци и по видове консуматори, като в общите разходи са включени, както разходите за вода, така също и разходите за канализация, отвеждане и за пречистване на </w:t>
      </w:r>
      <w:proofErr w:type="spellStart"/>
      <w:r w:rsidRPr="008600AA">
        <w:rPr>
          <w:color w:val="000000" w:themeColor="text1"/>
        </w:rPr>
        <w:t>потребените</w:t>
      </w:r>
      <w:proofErr w:type="spellEnd"/>
      <w:r w:rsidRPr="008600AA">
        <w:rPr>
          <w:color w:val="000000" w:themeColor="text1"/>
        </w:rPr>
        <w:t xml:space="preserve"> количества.</w:t>
      </w:r>
    </w:p>
    <w:p w14:paraId="48B372CB" w14:textId="5C694074" w:rsidR="0093789F" w:rsidRPr="0057086A" w:rsidRDefault="0093789F" w:rsidP="004B666F"/>
    <w:tbl>
      <w:tblPr>
        <w:tblW w:w="4930" w:type="pct"/>
        <w:tblLook w:val="04A0" w:firstRow="1" w:lastRow="0" w:firstColumn="1" w:lastColumn="0" w:noHBand="0" w:noVBand="1"/>
      </w:tblPr>
      <w:tblGrid>
        <w:gridCol w:w="1470"/>
        <w:gridCol w:w="1440"/>
        <w:gridCol w:w="892"/>
        <w:gridCol w:w="814"/>
        <w:gridCol w:w="814"/>
        <w:gridCol w:w="814"/>
        <w:gridCol w:w="816"/>
        <w:gridCol w:w="816"/>
        <w:gridCol w:w="816"/>
        <w:gridCol w:w="796"/>
      </w:tblGrid>
      <w:tr w:rsidR="003C486B" w:rsidRPr="0057086A" w14:paraId="22C434C9" w14:textId="77777777" w:rsidTr="003C486B">
        <w:trPr>
          <w:trHeight w:val="255"/>
        </w:trPr>
        <w:tc>
          <w:tcPr>
            <w:tcW w:w="775" w:type="pct"/>
            <w:vMerge w:val="restart"/>
            <w:tcBorders>
              <w:top w:val="single" w:sz="8" w:space="0" w:color="auto"/>
              <w:left w:val="single" w:sz="8" w:space="0" w:color="auto"/>
              <w:bottom w:val="nil"/>
              <w:right w:val="single" w:sz="4" w:space="0" w:color="auto"/>
            </w:tcBorders>
            <w:shd w:val="clear" w:color="auto" w:fill="auto"/>
            <w:noWrap/>
            <w:vAlign w:val="center"/>
            <w:hideMark/>
          </w:tcPr>
          <w:p w14:paraId="54D6C8EB" w14:textId="77777777" w:rsidR="003C486B" w:rsidRPr="0057086A" w:rsidRDefault="003C486B" w:rsidP="003C486B">
            <w:pPr>
              <w:spacing w:line="240" w:lineRule="auto"/>
              <w:jc w:val="center"/>
              <w:rPr>
                <w:rFonts w:eastAsia="Times New Roman" w:cs="Arial"/>
                <w:color w:val="000000"/>
                <w:spacing w:val="0"/>
                <w:sz w:val="16"/>
                <w:szCs w:val="16"/>
                <w:lang w:eastAsia="en-US"/>
              </w:rPr>
            </w:pPr>
          </w:p>
          <w:p w14:paraId="05510679" w14:textId="7673D59C" w:rsidR="003C486B" w:rsidRPr="0057086A" w:rsidRDefault="003C486B" w:rsidP="003C486B">
            <w:pPr>
              <w:spacing w:line="240" w:lineRule="auto"/>
              <w:jc w:val="center"/>
              <w:rPr>
                <w:rFonts w:eastAsia="Times New Roman" w:cs="Arial"/>
                <w:color w:val="000000"/>
                <w:spacing w:val="0"/>
                <w:sz w:val="16"/>
                <w:szCs w:val="16"/>
                <w:lang w:eastAsia="en-US"/>
              </w:rPr>
            </w:pPr>
          </w:p>
        </w:tc>
        <w:tc>
          <w:tcPr>
            <w:tcW w:w="759"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1071FB0B" w14:textId="77777777" w:rsidR="003C486B" w:rsidRPr="0057086A" w:rsidRDefault="003C486B" w:rsidP="003C486B">
            <w:pPr>
              <w:spacing w:line="240" w:lineRule="auto"/>
              <w:jc w:val="center"/>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Дим.</w:t>
            </w:r>
          </w:p>
        </w:tc>
        <w:tc>
          <w:tcPr>
            <w:tcW w:w="470"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7FB8997A" w14:textId="77777777" w:rsidR="003C486B" w:rsidRPr="0057086A" w:rsidRDefault="003C486B" w:rsidP="003C486B">
            <w:pPr>
              <w:spacing w:line="240" w:lineRule="auto"/>
              <w:jc w:val="center"/>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дименсия</w:t>
            </w:r>
          </w:p>
        </w:tc>
        <w:tc>
          <w:tcPr>
            <w:tcW w:w="429" w:type="pct"/>
            <w:vMerge w:val="restart"/>
            <w:tcBorders>
              <w:top w:val="single" w:sz="8" w:space="0" w:color="auto"/>
              <w:left w:val="single" w:sz="4" w:space="0" w:color="auto"/>
              <w:bottom w:val="nil"/>
              <w:right w:val="single" w:sz="4" w:space="0" w:color="auto"/>
            </w:tcBorders>
            <w:shd w:val="clear" w:color="auto" w:fill="auto"/>
            <w:noWrap/>
            <w:hideMark/>
          </w:tcPr>
          <w:p w14:paraId="67E4DE45" w14:textId="0E5B5D94" w:rsidR="003C486B" w:rsidRPr="003C486B" w:rsidRDefault="003C486B" w:rsidP="003C486B">
            <w:pPr>
              <w:spacing w:line="240" w:lineRule="auto"/>
              <w:jc w:val="both"/>
              <w:rPr>
                <w:rFonts w:eastAsia="Times New Roman" w:cs="Arial"/>
                <w:spacing w:val="0"/>
                <w:sz w:val="16"/>
                <w:szCs w:val="16"/>
                <w:lang w:eastAsia="en-US"/>
              </w:rPr>
            </w:pPr>
            <w:r w:rsidRPr="003C486B">
              <w:rPr>
                <w:sz w:val="16"/>
                <w:szCs w:val="16"/>
              </w:rPr>
              <w:t>07.2024</w:t>
            </w:r>
          </w:p>
        </w:tc>
        <w:tc>
          <w:tcPr>
            <w:tcW w:w="429" w:type="pct"/>
            <w:vMerge w:val="restart"/>
            <w:tcBorders>
              <w:top w:val="single" w:sz="8" w:space="0" w:color="auto"/>
              <w:left w:val="single" w:sz="4" w:space="0" w:color="auto"/>
              <w:bottom w:val="nil"/>
              <w:right w:val="nil"/>
            </w:tcBorders>
            <w:shd w:val="clear" w:color="auto" w:fill="auto"/>
            <w:noWrap/>
            <w:hideMark/>
          </w:tcPr>
          <w:p w14:paraId="522FEE22" w14:textId="3FD7C658" w:rsidR="003C486B" w:rsidRPr="003C486B" w:rsidRDefault="003C486B" w:rsidP="003C486B">
            <w:pPr>
              <w:spacing w:line="240" w:lineRule="auto"/>
              <w:jc w:val="both"/>
              <w:rPr>
                <w:rFonts w:eastAsia="Times New Roman" w:cs="Arial"/>
                <w:spacing w:val="0"/>
                <w:sz w:val="16"/>
                <w:szCs w:val="16"/>
                <w:lang w:eastAsia="en-US"/>
              </w:rPr>
            </w:pPr>
            <w:r w:rsidRPr="003C486B">
              <w:rPr>
                <w:sz w:val="16"/>
                <w:szCs w:val="16"/>
              </w:rPr>
              <w:t>08.2024</w:t>
            </w:r>
          </w:p>
        </w:tc>
        <w:tc>
          <w:tcPr>
            <w:tcW w:w="429" w:type="pct"/>
            <w:vMerge w:val="restart"/>
            <w:tcBorders>
              <w:top w:val="single" w:sz="8" w:space="0" w:color="auto"/>
              <w:left w:val="single" w:sz="4" w:space="0" w:color="auto"/>
              <w:bottom w:val="nil"/>
              <w:right w:val="nil"/>
            </w:tcBorders>
            <w:shd w:val="clear" w:color="auto" w:fill="auto"/>
            <w:noWrap/>
            <w:hideMark/>
          </w:tcPr>
          <w:p w14:paraId="13CF6BDD" w14:textId="77284209" w:rsidR="003C486B" w:rsidRPr="003C486B" w:rsidRDefault="003C486B" w:rsidP="003C486B">
            <w:pPr>
              <w:spacing w:line="240" w:lineRule="auto"/>
              <w:jc w:val="both"/>
              <w:rPr>
                <w:rFonts w:eastAsia="Times New Roman" w:cs="Arial"/>
                <w:spacing w:val="0"/>
                <w:sz w:val="16"/>
                <w:szCs w:val="16"/>
                <w:lang w:eastAsia="en-US"/>
              </w:rPr>
            </w:pPr>
            <w:r w:rsidRPr="003C486B">
              <w:rPr>
                <w:sz w:val="16"/>
                <w:szCs w:val="16"/>
              </w:rPr>
              <w:t>09.2024</w:t>
            </w:r>
          </w:p>
        </w:tc>
        <w:tc>
          <w:tcPr>
            <w:tcW w:w="430" w:type="pct"/>
            <w:vMerge w:val="restart"/>
            <w:tcBorders>
              <w:top w:val="single" w:sz="8" w:space="0" w:color="auto"/>
              <w:left w:val="single" w:sz="4" w:space="0" w:color="auto"/>
              <w:bottom w:val="nil"/>
              <w:right w:val="nil"/>
            </w:tcBorders>
            <w:shd w:val="clear" w:color="auto" w:fill="auto"/>
            <w:noWrap/>
            <w:hideMark/>
          </w:tcPr>
          <w:p w14:paraId="1769CB23" w14:textId="1285A14D" w:rsidR="003C486B" w:rsidRPr="003C486B" w:rsidRDefault="003C486B" w:rsidP="003C486B">
            <w:pPr>
              <w:spacing w:line="240" w:lineRule="auto"/>
              <w:jc w:val="both"/>
              <w:rPr>
                <w:rFonts w:eastAsia="Times New Roman" w:cs="Arial"/>
                <w:spacing w:val="0"/>
                <w:sz w:val="16"/>
                <w:szCs w:val="16"/>
                <w:lang w:eastAsia="en-US"/>
              </w:rPr>
            </w:pPr>
            <w:r w:rsidRPr="003C486B">
              <w:rPr>
                <w:sz w:val="16"/>
                <w:szCs w:val="16"/>
              </w:rPr>
              <w:t>10.2024</w:t>
            </w:r>
          </w:p>
        </w:tc>
        <w:tc>
          <w:tcPr>
            <w:tcW w:w="430" w:type="pct"/>
            <w:vMerge w:val="restart"/>
            <w:tcBorders>
              <w:top w:val="single" w:sz="8" w:space="0" w:color="auto"/>
              <w:left w:val="single" w:sz="4" w:space="0" w:color="auto"/>
              <w:bottom w:val="nil"/>
              <w:right w:val="single" w:sz="4" w:space="0" w:color="auto"/>
            </w:tcBorders>
            <w:shd w:val="clear" w:color="auto" w:fill="auto"/>
            <w:noWrap/>
            <w:hideMark/>
          </w:tcPr>
          <w:p w14:paraId="50A2CCFD" w14:textId="5E60B856" w:rsidR="003C486B" w:rsidRPr="003C486B" w:rsidRDefault="003C486B" w:rsidP="003C486B">
            <w:pPr>
              <w:spacing w:line="240" w:lineRule="auto"/>
              <w:jc w:val="both"/>
              <w:rPr>
                <w:rFonts w:eastAsia="Times New Roman" w:cs="Arial"/>
                <w:spacing w:val="0"/>
                <w:sz w:val="16"/>
                <w:szCs w:val="16"/>
                <w:lang w:eastAsia="en-US"/>
              </w:rPr>
            </w:pPr>
            <w:r w:rsidRPr="003C486B">
              <w:rPr>
                <w:sz w:val="16"/>
                <w:szCs w:val="16"/>
              </w:rPr>
              <w:t>11,2024</w:t>
            </w:r>
          </w:p>
        </w:tc>
        <w:tc>
          <w:tcPr>
            <w:tcW w:w="430" w:type="pct"/>
            <w:vMerge w:val="restart"/>
            <w:tcBorders>
              <w:top w:val="single" w:sz="8" w:space="0" w:color="auto"/>
              <w:left w:val="single" w:sz="4" w:space="0" w:color="auto"/>
              <w:bottom w:val="nil"/>
              <w:right w:val="nil"/>
            </w:tcBorders>
            <w:shd w:val="clear" w:color="auto" w:fill="auto"/>
            <w:noWrap/>
            <w:hideMark/>
          </w:tcPr>
          <w:p w14:paraId="109EE67F" w14:textId="0FB5F300" w:rsidR="003C486B" w:rsidRPr="003C486B" w:rsidRDefault="003C486B" w:rsidP="003C486B">
            <w:pPr>
              <w:spacing w:line="240" w:lineRule="auto"/>
              <w:jc w:val="both"/>
              <w:rPr>
                <w:rFonts w:eastAsia="Times New Roman" w:cs="Arial"/>
                <w:spacing w:val="0"/>
                <w:sz w:val="16"/>
                <w:szCs w:val="16"/>
                <w:lang w:eastAsia="en-US"/>
              </w:rPr>
            </w:pPr>
            <w:r w:rsidRPr="003C486B">
              <w:rPr>
                <w:sz w:val="16"/>
                <w:szCs w:val="16"/>
              </w:rPr>
              <w:t>12.2024</w:t>
            </w:r>
          </w:p>
        </w:tc>
        <w:tc>
          <w:tcPr>
            <w:tcW w:w="419" w:type="pct"/>
            <w:vMerge w:val="restart"/>
            <w:tcBorders>
              <w:top w:val="single" w:sz="8" w:space="0" w:color="auto"/>
              <w:left w:val="single" w:sz="4" w:space="0" w:color="auto"/>
              <w:bottom w:val="single" w:sz="4" w:space="0" w:color="auto"/>
              <w:right w:val="single" w:sz="4" w:space="0" w:color="auto"/>
            </w:tcBorders>
            <w:shd w:val="clear" w:color="auto" w:fill="auto"/>
            <w:noWrap/>
            <w:hideMark/>
          </w:tcPr>
          <w:p w14:paraId="3AFD4EC8" w14:textId="4BEC6553" w:rsidR="003C486B" w:rsidRPr="003C486B" w:rsidRDefault="003C486B" w:rsidP="003C486B">
            <w:pPr>
              <w:spacing w:line="240" w:lineRule="auto"/>
              <w:jc w:val="both"/>
              <w:rPr>
                <w:rFonts w:eastAsia="Times New Roman" w:cs="Arial"/>
                <w:spacing w:val="0"/>
                <w:sz w:val="16"/>
                <w:szCs w:val="16"/>
                <w:lang w:val="en-US" w:eastAsia="en-US"/>
              </w:rPr>
            </w:pPr>
            <w:r w:rsidRPr="003C486B">
              <w:rPr>
                <w:sz w:val="16"/>
                <w:szCs w:val="16"/>
              </w:rPr>
              <w:t>01.2025</w:t>
            </w:r>
          </w:p>
        </w:tc>
      </w:tr>
      <w:tr w:rsidR="000277F7" w:rsidRPr="0057086A" w14:paraId="128D42D1" w14:textId="77777777" w:rsidTr="003C486B">
        <w:trPr>
          <w:trHeight w:val="270"/>
        </w:trPr>
        <w:tc>
          <w:tcPr>
            <w:tcW w:w="775" w:type="pct"/>
            <w:vMerge/>
            <w:tcBorders>
              <w:top w:val="single" w:sz="8" w:space="0" w:color="auto"/>
              <w:left w:val="single" w:sz="8" w:space="0" w:color="auto"/>
              <w:bottom w:val="nil"/>
              <w:right w:val="single" w:sz="4" w:space="0" w:color="auto"/>
            </w:tcBorders>
            <w:vAlign w:val="center"/>
            <w:hideMark/>
          </w:tcPr>
          <w:p w14:paraId="5C29CC99"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759" w:type="pct"/>
            <w:vMerge/>
            <w:tcBorders>
              <w:top w:val="single" w:sz="8" w:space="0" w:color="auto"/>
              <w:left w:val="single" w:sz="4" w:space="0" w:color="auto"/>
              <w:bottom w:val="nil"/>
              <w:right w:val="single" w:sz="4" w:space="0" w:color="auto"/>
            </w:tcBorders>
            <w:vAlign w:val="center"/>
            <w:hideMark/>
          </w:tcPr>
          <w:p w14:paraId="4A9AF1A8"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470" w:type="pct"/>
            <w:vMerge/>
            <w:tcBorders>
              <w:top w:val="single" w:sz="8" w:space="0" w:color="auto"/>
              <w:left w:val="single" w:sz="4" w:space="0" w:color="auto"/>
              <w:bottom w:val="nil"/>
              <w:right w:val="single" w:sz="4" w:space="0" w:color="auto"/>
            </w:tcBorders>
            <w:vAlign w:val="center"/>
            <w:hideMark/>
          </w:tcPr>
          <w:p w14:paraId="35359F56"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429" w:type="pct"/>
            <w:vMerge/>
            <w:tcBorders>
              <w:top w:val="single" w:sz="8" w:space="0" w:color="auto"/>
              <w:left w:val="single" w:sz="4" w:space="0" w:color="auto"/>
              <w:bottom w:val="nil"/>
              <w:right w:val="single" w:sz="4" w:space="0" w:color="auto"/>
            </w:tcBorders>
            <w:vAlign w:val="center"/>
            <w:hideMark/>
          </w:tcPr>
          <w:p w14:paraId="652E6FE5" w14:textId="77777777" w:rsidR="000277F7" w:rsidRPr="0057086A" w:rsidRDefault="000277F7" w:rsidP="000277F7">
            <w:pPr>
              <w:spacing w:line="240" w:lineRule="auto"/>
              <w:rPr>
                <w:rFonts w:eastAsia="Times New Roman" w:cs="Arial"/>
                <w:spacing w:val="0"/>
                <w:sz w:val="16"/>
                <w:szCs w:val="16"/>
                <w:lang w:eastAsia="en-US"/>
              </w:rPr>
            </w:pPr>
          </w:p>
        </w:tc>
        <w:tc>
          <w:tcPr>
            <w:tcW w:w="429" w:type="pct"/>
            <w:vMerge/>
            <w:tcBorders>
              <w:top w:val="single" w:sz="8" w:space="0" w:color="auto"/>
              <w:left w:val="single" w:sz="4" w:space="0" w:color="auto"/>
              <w:bottom w:val="nil"/>
              <w:right w:val="nil"/>
            </w:tcBorders>
            <w:vAlign w:val="center"/>
            <w:hideMark/>
          </w:tcPr>
          <w:p w14:paraId="4187933C" w14:textId="77777777" w:rsidR="000277F7" w:rsidRPr="0057086A" w:rsidRDefault="000277F7" w:rsidP="000277F7">
            <w:pPr>
              <w:spacing w:line="240" w:lineRule="auto"/>
              <w:rPr>
                <w:rFonts w:eastAsia="Times New Roman" w:cs="Arial"/>
                <w:spacing w:val="0"/>
                <w:sz w:val="16"/>
                <w:szCs w:val="16"/>
                <w:lang w:eastAsia="en-US"/>
              </w:rPr>
            </w:pPr>
          </w:p>
        </w:tc>
        <w:tc>
          <w:tcPr>
            <w:tcW w:w="429" w:type="pct"/>
            <w:vMerge/>
            <w:tcBorders>
              <w:top w:val="single" w:sz="8" w:space="0" w:color="auto"/>
              <w:left w:val="single" w:sz="4" w:space="0" w:color="auto"/>
              <w:bottom w:val="nil"/>
              <w:right w:val="nil"/>
            </w:tcBorders>
            <w:vAlign w:val="center"/>
            <w:hideMark/>
          </w:tcPr>
          <w:p w14:paraId="092845FC" w14:textId="77777777" w:rsidR="000277F7" w:rsidRPr="0057086A" w:rsidRDefault="000277F7" w:rsidP="000277F7">
            <w:pPr>
              <w:spacing w:line="240" w:lineRule="auto"/>
              <w:rPr>
                <w:rFonts w:eastAsia="Times New Roman" w:cs="Arial"/>
                <w:spacing w:val="0"/>
                <w:sz w:val="16"/>
                <w:szCs w:val="16"/>
                <w:lang w:eastAsia="en-US"/>
              </w:rPr>
            </w:pPr>
          </w:p>
        </w:tc>
        <w:tc>
          <w:tcPr>
            <w:tcW w:w="430" w:type="pct"/>
            <w:vMerge/>
            <w:tcBorders>
              <w:top w:val="single" w:sz="8" w:space="0" w:color="auto"/>
              <w:left w:val="single" w:sz="4" w:space="0" w:color="auto"/>
              <w:bottom w:val="nil"/>
              <w:right w:val="nil"/>
            </w:tcBorders>
            <w:vAlign w:val="center"/>
            <w:hideMark/>
          </w:tcPr>
          <w:p w14:paraId="69117836" w14:textId="77777777" w:rsidR="000277F7" w:rsidRPr="0057086A" w:rsidRDefault="000277F7" w:rsidP="000277F7">
            <w:pPr>
              <w:spacing w:line="240" w:lineRule="auto"/>
              <w:rPr>
                <w:rFonts w:eastAsia="Times New Roman" w:cs="Arial"/>
                <w:spacing w:val="0"/>
                <w:sz w:val="16"/>
                <w:szCs w:val="16"/>
                <w:lang w:eastAsia="en-US"/>
              </w:rPr>
            </w:pPr>
          </w:p>
        </w:tc>
        <w:tc>
          <w:tcPr>
            <w:tcW w:w="430" w:type="pct"/>
            <w:vMerge/>
            <w:tcBorders>
              <w:top w:val="single" w:sz="8" w:space="0" w:color="auto"/>
              <w:left w:val="single" w:sz="4" w:space="0" w:color="auto"/>
              <w:bottom w:val="nil"/>
              <w:right w:val="single" w:sz="4" w:space="0" w:color="auto"/>
            </w:tcBorders>
            <w:vAlign w:val="center"/>
            <w:hideMark/>
          </w:tcPr>
          <w:p w14:paraId="5E3D9B23" w14:textId="77777777" w:rsidR="000277F7" w:rsidRPr="0057086A" w:rsidRDefault="000277F7" w:rsidP="000277F7">
            <w:pPr>
              <w:spacing w:line="240" w:lineRule="auto"/>
              <w:rPr>
                <w:rFonts w:eastAsia="Times New Roman" w:cs="Arial"/>
                <w:spacing w:val="0"/>
                <w:sz w:val="16"/>
                <w:szCs w:val="16"/>
                <w:lang w:eastAsia="en-US"/>
              </w:rPr>
            </w:pPr>
          </w:p>
        </w:tc>
        <w:tc>
          <w:tcPr>
            <w:tcW w:w="430" w:type="pct"/>
            <w:vMerge/>
            <w:tcBorders>
              <w:top w:val="single" w:sz="8" w:space="0" w:color="auto"/>
              <w:left w:val="single" w:sz="4" w:space="0" w:color="auto"/>
              <w:bottom w:val="nil"/>
              <w:right w:val="nil"/>
            </w:tcBorders>
            <w:vAlign w:val="center"/>
            <w:hideMark/>
          </w:tcPr>
          <w:p w14:paraId="7C7580A7" w14:textId="77777777" w:rsidR="000277F7" w:rsidRPr="0057086A" w:rsidRDefault="000277F7" w:rsidP="000277F7">
            <w:pPr>
              <w:spacing w:line="240" w:lineRule="auto"/>
              <w:rPr>
                <w:rFonts w:eastAsia="Times New Roman" w:cs="Arial"/>
                <w:spacing w:val="0"/>
                <w:sz w:val="16"/>
                <w:szCs w:val="16"/>
                <w:lang w:eastAsia="en-US"/>
              </w:rPr>
            </w:pPr>
          </w:p>
        </w:tc>
        <w:tc>
          <w:tcPr>
            <w:tcW w:w="419" w:type="pct"/>
            <w:vMerge/>
            <w:tcBorders>
              <w:top w:val="single" w:sz="8" w:space="0" w:color="auto"/>
              <w:left w:val="single" w:sz="4" w:space="0" w:color="auto"/>
              <w:bottom w:val="single" w:sz="8" w:space="0" w:color="auto"/>
              <w:right w:val="single" w:sz="4" w:space="0" w:color="auto"/>
            </w:tcBorders>
            <w:vAlign w:val="center"/>
            <w:hideMark/>
          </w:tcPr>
          <w:p w14:paraId="42D578EF" w14:textId="77777777" w:rsidR="000277F7" w:rsidRPr="0057086A" w:rsidRDefault="000277F7" w:rsidP="000277F7">
            <w:pPr>
              <w:spacing w:line="240" w:lineRule="auto"/>
              <w:rPr>
                <w:rFonts w:eastAsia="Times New Roman" w:cs="Arial"/>
                <w:spacing w:val="0"/>
                <w:sz w:val="16"/>
                <w:szCs w:val="16"/>
                <w:lang w:eastAsia="en-US"/>
              </w:rPr>
            </w:pPr>
          </w:p>
        </w:tc>
      </w:tr>
      <w:tr w:rsidR="007C756E" w:rsidRPr="0057086A" w14:paraId="20B156B6" w14:textId="77777777" w:rsidTr="00D561EA">
        <w:trPr>
          <w:trHeight w:val="255"/>
        </w:trPr>
        <w:tc>
          <w:tcPr>
            <w:tcW w:w="775" w:type="pct"/>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5049052C" w14:textId="77777777" w:rsidR="007C756E" w:rsidRPr="0057086A" w:rsidRDefault="007C756E" w:rsidP="007C756E">
            <w:pPr>
              <w:spacing w:line="240" w:lineRule="auto"/>
              <w:rPr>
                <w:rFonts w:eastAsia="Times New Roman" w:cs="Arial"/>
                <w:spacing w:val="0"/>
                <w:sz w:val="16"/>
                <w:szCs w:val="16"/>
                <w:lang w:eastAsia="en-US"/>
              </w:rPr>
            </w:pPr>
            <w:r w:rsidRPr="0057086A">
              <w:rPr>
                <w:rFonts w:eastAsia="Times New Roman" w:cs="Arial"/>
                <w:spacing w:val="0"/>
                <w:sz w:val="16"/>
                <w:szCs w:val="16"/>
                <w:lang w:eastAsia="en-US"/>
              </w:rPr>
              <w:t>ТЕЦ производство</w:t>
            </w:r>
          </w:p>
        </w:tc>
        <w:tc>
          <w:tcPr>
            <w:tcW w:w="759" w:type="pct"/>
            <w:tcBorders>
              <w:top w:val="single" w:sz="8" w:space="0" w:color="auto"/>
              <w:left w:val="nil"/>
              <w:bottom w:val="single" w:sz="4" w:space="0" w:color="auto"/>
              <w:right w:val="single" w:sz="4" w:space="0" w:color="auto"/>
            </w:tcBorders>
            <w:shd w:val="clear" w:color="auto" w:fill="auto"/>
            <w:noWrap/>
            <w:vAlign w:val="bottom"/>
            <w:hideMark/>
          </w:tcPr>
          <w:p w14:paraId="1C583A22"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70" w:type="pct"/>
            <w:tcBorders>
              <w:top w:val="single" w:sz="8" w:space="0" w:color="auto"/>
              <w:left w:val="nil"/>
              <w:bottom w:val="single" w:sz="4" w:space="0" w:color="auto"/>
              <w:right w:val="single" w:sz="4" w:space="0" w:color="auto"/>
            </w:tcBorders>
            <w:shd w:val="clear" w:color="auto" w:fill="auto"/>
            <w:noWrap/>
            <w:vAlign w:val="bottom"/>
            <w:hideMark/>
          </w:tcPr>
          <w:p w14:paraId="7FBAF953"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29" w:type="pct"/>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42FBD03A" w14:textId="7C6DABE7" w:rsidR="007C756E" w:rsidRPr="007C756E" w:rsidRDefault="007C756E" w:rsidP="007C756E">
            <w:pPr>
              <w:spacing w:line="240" w:lineRule="auto"/>
              <w:jc w:val="right"/>
              <w:rPr>
                <w:rFonts w:eastAsia="Times New Roman" w:cs="Arial"/>
                <w:b/>
                <w:bCs/>
                <w:color w:val="000000"/>
                <w:spacing w:val="0"/>
                <w:sz w:val="16"/>
                <w:szCs w:val="16"/>
                <w:lang w:val="en-US" w:eastAsia="en-US"/>
              </w:rPr>
            </w:pPr>
            <w:r w:rsidRPr="007C756E">
              <w:rPr>
                <w:b/>
                <w:bCs/>
              </w:rPr>
              <w:t>x xxx</w:t>
            </w:r>
          </w:p>
        </w:tc>
        <w:tc>
          <w:tcPr>
            <w:tcW w:w="429" w:type="pct"/>
            <w:tcBorders>
              <w:top w:val="single" w:sz="8" w:space="0" w:color="auto"/>
              <w:left w:val="nil"/>
              <w:bottom w:val="single" w:sz="4" w:space="0" w:color="auto"/>
              <w:right w:val="nil"/>
            </w:tcBorders>
            <w:shd w:val="clear" w:color="000000" w:fill="FFFFFF"/>
            <w:noWrap/>
            <w:hideMark/>
          </w:tcPr>
          <w:p w14:paraId="51700A46" w14:textId="5525E383" w:rsidR="007C756E" w:rsidRPr="007C756E" w:rsidRDefault="007C756E" w:rsidP="007C756E">
            <w:pPr>
              <w:spacing w:line="240" w:lineRule="auto"/>
              <w:jc w:val="right"/>
              <w:rPr>
                <w:rFonts w:eastAsia="Times New Roman" w:cs="Arial"/>
                <w:b/>
                <w:bCs/>
                <w:color w:val="000000"/>
                <w:spacing w:val="0"/>
                <w:sz w:val="16"/>
                <w:szCs w:val="16"/>
                <w:lang w:eastAsia="en-US"/>
              </w:rPr>
            </w:pPr>
            <w:r w:rsidRPr="007C756E">
              <w:rPr>
                <w:b/>
                <w:bCs/>
              </w:rPr>
              <w:t>x xxx</w:t>
            </w:r>
          </w:p>
        </w:tc>
        <w:tc>
          <w:tcPr>
            <w:tcW w:w="429" w:type="pct"/>
            <w:tcBorders>
              <w:top w:val="single" w:sz="8" w:space="0" w:color="auto"/>
              <w:left w:val="single" w:sz="4" w:space="0" w:color="auto"/>
              <w:bottom w:val="single" w:sz="4" w:space="0" w:color="auto"/>
              <w:right w:val="nil"/>
            </w:tcBorders>
            <w:shd w:val="clear" w:color="000000" w:fill="FFFFFF"/>
            <w:noWrap/>
            <w:hideMark/>
          </w:tcPr>
          <w:p w14:paraId="52470B07" w14:textId="7848BA37" w:rsidR="007C756E" w:rsidRPr="007C756E" w:rsidRDefault="007C756E" w:rsidP="007C756E">
            <w:pPr>
              <w:spacing w:line="240" w:lineRule="auto"/>
              <w:jc w:val="right"/>
              <w:rPr>
                <w:rFonts w:eastAsia="Times New Roman" w:cs="Arial"/>
                <w:b/>
                <w:bCs/>
                <w:color w:val="000000"/>
                <w:spacing w:val="0"/>
                <w:sz w:val="16"/>
                <w:szCs w:val="16"/>
                <w:lang w:eastAsia="en-US"/>
              </w:rPr>
            </w:pPr>
            <w:r w:rsidRPr="007C756E">
              <w:rPr>
                <w:b/>
                <w:bCs/>
              </w:rPr>
              <w:t>x xxx</w:t>
            </w:r>
          </w:p>
        </w:tc>
        <w:tc>
          <w:tcPr>
            <w:tcW w:w="430" w:type="pct"/>
            <w:tcBorders>
              <w:top w:val="single" w:sz="8" w:space="0" w:color="auto"/>
              <w:left w:val="single" w:sz="4" w:space="0" w:color="auto"/>
              <w:bottom w:val="single" w:sz="4" w:space="0" w:color="auto"/>
              <w:right w:val="single" w:sz="4" w:space="0" w:color="auto"/>
            </w:tcBorders>
            <w:shd w:val="clear" w:color="000000" w:fill="FFFFFF"/>
            <w:noWrap/>
            <w:hideMark/>
          </w:tcPr>
          <w:p w14:paraId="0A7EDF17" w14:textId="0234A3C6" w:rsidR="007C756E" w:rsidRPr="007C756E" w:rsidRDefault="007C756E" w:rsidP="007C756E">
            <w:pPr>
              <w:spacing w:line="240" w:lineRule="auto"/>
              <w:jc w:val="right"/>
              <w:rPr>
                <w:rFonts w:eastAsia="Times New Roman" w:cs="Arial"/>
                <w:b/>
                <w:bCs/>
                <w:color w:val="000000"/>
                <w:spacing w:val="0"/>
                <w:sz w:val="16"/>
                <w:szCs w:val="16"/>
                <w:lang w:eastAsia="en-US"/>
              </w:rPr>
            </w:pPr>
            <w:r w:rsidRPr="007C756E">
              <w:rPr>
                <w:b/>
                <w:bCs/>
              </w:rPr>
              <w:t>x xxx</w:t>
            </w:r>
          </w:p>
        </w:tc>
        <w:tc>
          <w:tcPr>
            <w:tcW w:w="430" w:type="pct"/>
            <w:tcBorders>
              <w:top w:val="single" w:sz="8" w:space="0" w:color="auto"/>
              <w:left w:val="nil"/>
              <w:bottom w:val="single" w:sz="4" w:space="0" w:color="auto"/>
              <w:right w:val="single" w:sz="4" w:space="0" w:color="auto"/>
            </w:tcBorders>
            <w:shd w:val="clear" w:color="000000" w:fill="FFFFFF"/>
            <w:noWrap/>
            <w:hideMark/>
          </w:tcPr>
          <w:p w14:paraId="40413D23" w14:textId="76435C9A" w:rsidR="007C756E" w:rsidRPr="007C756E" w:rsidRDefault="007C756E" w:rsidP="007C756E">
            <w:pPr>
              <w:spacing w:line="240" w:lineRule="auto"/>
              <w:jc w:val="right"/>
              <w:rPr>
                <w:rFonts w:eastAsia="Times New Roman" w:cs="Arial"/>
                <w:b/>
                <w:bCs/>
                <w:color w:val="000000"/>
                <w:spacing w:val="0"/>
                <w:sz w:val="16"/>
                <w:szCs w:val="16"/>
                <w:lang w:eastAsia="en-US"/>
              </w:rPr>
            </w:pPr>
            <w:r w:rsidRPr="007C756E">
              <w:rPr>
                <w:b/>
                <w:bCs/>
              </w:rPr>
              <w:t>x xxx</w:t>
            </w:r>
          </w:p>
        </w:tc>
        <w:tc>
          <w:tcPr>
            <w:tcW w:w="430" w:type="pct"/>
            <w:tcBorders>
              <w:top w:val="single" w:sz="8" w:space="0" w:color="auto"/>
              <w:left w:val="nil"/>
              <w:bottom w:val="single" w:sz="4" w:space="0" w:color="auto"/>
              <w:right w:val="nil"/>
            </w:tcBorders>
            <w:shd w:val="clear" w:color="000000" w:fill="FFFFFF"/>
            <w:noWrap/>
            <w:hideMark/>
          </w:tcPr>
          <w:p w14:paraId="21D34201" w14:textId="79CFEDD3" w:rsidR="007C756E" w:rsidRPr="007C756E" w:rsidRDefault="007C756E" w:rsidP="007C756E">
            <w:pPr>
              <w:spacing w:line="240" w:lineRule="auto"/>
              <w:jc w:val="right"/>
              <w:rPr>
                <w:rFonts w:eastAsia="Times New Roman" w:cs="Arial"/>
                <w:b/>
                <w:bCs/>
                <w:color w:val="000000"/>
                <w:spacing w:val="0"/>
                <w:sz w:val="16"/>
                <w:szCs w:val="16"/>
                <w:lang w:val="en-US" w:eastAsia="en-US"/>
              </w:rPr>
            </w:pPr>
            <w:r w:rsidRPr="00545069">
              <w:rPr>
                <w:rFonts w:cs="Arial"/>
                <w:b/>
                <w:bCs/>
                <w:color w:val="000000"/>
                <w:sz w:val="16"/>
                <w:szCs w:val="16"/>
                <w:lang w:val="en-US"/>
              </w:rPr>
              <w:t>xx xxx</w:t>
            </w:r>
          </w:p>
        </w:tc>
        <w:tc>
          <w:tcPr>
            <w:tcW w:w="419" w:type="pct"/>
            <w:tcBorders>
              <w:top w:val="single" w:sz="8" w:space="0" w:color="auto"/>
              <w:left w:val="single" w:sz="4" w:space="0" w:color="auto"/>
              <w:bottom w:val="single" w:sz="4" w:space="0" w:color="auto"/>
              <w:right w:val="single" w:sz="4" w:space="0" w:color="auto"/>
            </w:tcBorders>
            <w:shd w:val="clear" w:color="000000" w:fill="FFFFFF"/>
            <w:noWrap/>
            <w:hideMark/>
          </w:tcPr>
          <w:p w14:paraId="4097F57B" w14:textId="1092FB05" w:rsidR="007C756E" w:rsidRPr="0057086A" w:rsidRDefault="007C756E" w:rsidP="007C756E">
            <w:pPr>
              <w:spacing w:line="240" w:lineRule="auto"/>
              <w:jc w:val="right"/>
              <w:rPr>
                <w:rFonts w:eastAsia="Times New Roman" w:cs="Arial"/>
                <w:b/>
                <w:bCs/>
                <w:color w:val="000000"/>
                <w:spacing w:val="0"/>
                <w:sz w:val="16"/>
                <w:szCs w:val="16"/>
                <w:lang w:eastAsia="en-US"/>
              </w:rPr>
            </w:pPr>
            <w:r w:rsidRPr="00545069">
              <w:rPr>
                <w:rFonts w:cs="Arial"/>
                <w:b/>
                <w:bCs/>
                <w:color w:val="000000"/>
                <w:sz w:val="16"/>
                <w:szCs w:val="16"/>
                <w:lang w:val="en-US"/>
              </w:rPr>
              <w:t>xx xxx</w:t>
            </w:r>
          </w:p>
        </w:tc>
      </w:tr>
      <w:tr w:rsidR="007C756E" w:rsidRPr="0057086A" w14:paraId="66E7E9FD" w14:textId="77777777" w:rsidTr="0049302A">
        <w:trPr>
          <w:trHeight w:val="255"/>
        </w:trPr>
        <w:tc>
          <w:tcPr>
            <w:tcW w:w="775" w:type="pct"/>
            <w:vMerge/>
            <w:tcBorders>
              <w:top w:val="single" w:sz="8" w:space="0" w:color="auto"/>
              <w:left w:val="single" w:sz="8" w:space="0" w:color="auto"/>
              <w:bottom w:val="single" w:sz="8" w:space="0" w:color="000000"/>
              <w:right w:val="single" w:sz="4" w:space="0" w:color="auto"/>
            </w:tcBorders>
            <w:vAlign w:val="center"/>
            <w:hideMark/>
          </w:tcPr>
          <w:p w14:paraId="4E585497" w14:textId="77777777" w:rsidR="007C756E" w:rsidRPr="0057086A" w:rsidRDefault="007C756E" w:rsidP="007C756E">
            <w:pPr>
              <w:spacing w:line="240" w:lineRule="auto"/>
              <w:rPr>
                <w:rFonts w:eastAsia="Times New Roman" w:cs="Arial"/>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2DB201D8"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70" w:type="pct"/>
            <w:tcBorders>
              <w:top w:val="nil"/>
              <w:left w:val="nil"/>
              <w:bottom w:val="single" w:sz="4" w:space="0" w:color="auto"/>
              <w:right w:val="single" w:sz="4" w:space="0" w:color="auto"/>
            </w:tcBorders>
            <w:shd w:val="clear" w:color="auto" w:fill="auto"/>
            <w:noWrap/>
            <w:vAlign w:val="bottom"/>
            <w:hideMark/>
          </w:tcPr>
          <w:p w14:paraId="20FD7EE8"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nil"/>
            </w:tcBorders>
            <w:shd w:val="clear" w:color="auto" w:fill="auto"/>
            <w:noWrap/>
            <w:hideMark/>
          </w:tcPr>
          <w:p w14:paraId="37FA500A" w14:textId="0BE422C9" w:rsidR="007C756E" w:rsidRPr="007C756E" w:rsidRDefault="007C756E" w:rsidP="007C756E">
            <w:pPr>
              <w:spacing w:line="240" w:lineRule="auto"/>
              <w:jc w:val="right"/>
              <w:rPr>
                <w:rFonts w:eastAsia="Times New Roman" w:cs="Arial"/>
                <w:color w:val="000000"/>
                <w:spacing w:val="0"/>
                <w:sz w:val="16"/>
                <w:szCs w:val="16"/>
                <w:lang w:val="en-US" w:eastAsia="en-US"/>
              </w:rPr>
            </w:pPr>
            <w:proofErr w:type="spellStart"/>
            <w:proofErr w:type="gramStart"/>
            <w:r w:rsidRPr="001A2276">
              <w:rPr>
                <w:rFonts w:cs="Arial"/>
                <w:color w:val="000000"/>
                <w:sz w:val="16"/>
                <w:szCs w:val="16"/>
                <w:lang w:val="en-US"/>
              </w:rPr>
              <w:t>x,xx</w:t>
            </w:r>
            <w:proofErr w:type="spellEnd"/>
            <w:proofErr w:type="gramEnd"/>
          </w:p>
        </w:tc>
        <w:tc>
          <w:tcPr>
            <w:tcW w:w="429" w:type="pct"/>
            <w:tcBorders>
              <w:top w:val="nil"/>
              <w:left w:val="single" w:sz="4" w:space="0" w:color="auto"/>
              <w:bottom w:val="single" w:sz="4" w:space="0" w:color="auto"/>
              <w:right w:val="nil"/>
            </w:tcBorders>
            <w:shd w:val="clear" w:color="auto" w:fill="auto"/>
            <w:noWrap/>
            <w:hideMark/>
          </w:tcPr>
          <w:p w14:paraId="18DD6D98" w14:textId="5DE93833"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c>
          <w:tcPr>
            <w:tcW w:w="429" w:type="pct"/>
            <w:tcBorders>
              <w:top w:val="nil"/>
              <w:left w:val="single" w:sz="4" w:space="0" w:color="auto"/>
              <w:bottom w:val="single" w:sz="4" w:space="0" w:color="auto"/>
              <w:right w:val="nil"/>
            </w:tcBorders>
            <w:shd w:val="clear" w:color="auto" w:fill="auto"/>
            <w:noWrap/>
            <w:hideMark/>
          </w:tcPr>
          <w:p w14:paraId="01C23185" w14:textId="29DC660A"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c>
          <w:tcPr>
            <w:tcW w:w="430" w:type="pct"/>
            <w:tcBorders>
              <w:top w:val="nil"/>
              <w:left w:val="single" w:sz="4" w:space="0" w:color="auto"/>
              <w:bottom w:val="single" w:sz="4" w:space="0" w:color="auto"/>
              <w:right w:val="nil"/>
            </w:tcBorders>
            <w:shd w:val="clear" w:color="auto" w:fill="auto"/>
            <w:noWrap/>
            <w:hideMark/>
          </w:tcPr>
          <w:p w14:paraId="11F271DE" w14:textId="2E3BFBE5"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c>
          <w:tcPr>
            <w:tcW w:w="430" w:type="pct"/>
            <w:tcBorders>
              <w:top w:val="nil"/>
              <w:left w:val="single" w:sz="4" w:space="0" w:color="auto"/>
              <w:bottom w:val="single" w:sz="4" w:space="0" w:color="auto"/>
              <w:right w:val="nil"/>
            </w:tcBorders>
            <w:shd w:val="clear" w:color="auto" w:fill="auto"/>
            <w:noWrap/>
            <w:hideMark/>
          </w:tcPr>
          <w:p w14:paraId="1D070E1F" w14:textId="47CAF5A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c>
          <w:tcPr>
            <w:tcW w:w="430" w:type="pct"/>
            <w:tcBorders>
              <w:top w:val="nil"/>
              <w:left w:val="single" w:sz="4" w:space="0" w:color="auto"/>
              <w:bottom w:val="single" w:sz="4" w:space="0" w:color="auto"/>
              <w:right w:val="nil"/>
            </w:tcBorders>
            <w:shd w:val="clear" w:color="auto" w:fill="auto"/>
            <w:noWrap/>
            <w:hideMark/>
          </w:tcPr>
          <w:p w14:paraId="32B575C8" w14:textId="7D4DA65C"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c>
          <w:tcPr>
            <w:tcW w:w="419" w:type="pct"/>
            <w:tcBorders>
              <w:top w:val="nil"/>
              <w:left w:val="single" w:sz="4" w:space="0" w:color="auto"/>
              <w:bottom w:val="single" w:sz="4" w:space="0" w:color="auto"/>
              <w:right w:val="single" w:sz="4" w:space="0" w:color="auto"/>
            </w:tcBorders>
            <w:shd w:val="clear" w:color="auto" w:fill="auto"/>
            <w:noWrap/>
            <w:hideMark/>
          </w:tcPr>
          <w:p w14:paraId="76744E2C" w14:textId="1D82CABC"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r>
      <w:tr w:rsidR="007C756E" w:rsidRPr="0057086A" w14:paraId="2AE93F79" w14:textId="77777777" w:rsidTr="0049302A">
        <w:trPr>
          <w:trHeight w:val="270"/>
        </w:trPr>
        <w:tc>
          <w:tcPr>
            <w:tcW w:w="775" w:type="pct"/>
            <w:vMerge/>
            <w:tcBorders>
              <w:top w:val="single" w:sz="8" w:space="0" w:color="auto"/>
              <w:left w:val="single" w:sz="8" w:space="0" w:color="auto"/>
              <w:bottom w:val="single" w:sz="8" w:space="0" w:color="000000"/>
              <w:right w:val="single" w:sz="4" w:space="0" w:color="auto"/>
            </w:tcBorders>
            <w:vAlign w:val="center"/>
            <w:hideMark/>
          </w:tcPr>
          <w:p w14:paraId="6A08806D" w14:textId="77777777" w:rsidR="007C756E" w:rsidRPr="0057086A" w:rsidRDefault="007C756E" w:rsidP="007C756E">
            <w:pPr>
              <w:spacing w:line="240" w:lineRule="auto"/>
              <w:rPr>
                <w:rFonts w:eastAsia="Times New Roman" w:cs="Arial"/>
                <w:spacing w:val="0"/>
                <w:sz w:val="16"/>
                <w:szCs w:val="16"/>
                <w:lang w:eastAsia="en-US"/>
              </w:rPr>
            </w:pPr>
          </w:p>
        </w:tc>
        <w:tc>
          <w:tcPr>
            <w:tcW w:w="759" w:type="pct"/>
            <w:tcBorders>
              <w:top w:val="nil"/>
              <w:left w:val="nil"/>
              <w:bottom w:val="single" w:sz="8" w:space="0" w:color="auto"/>
              <w:right w:val="single" w:sz="4" w:space="0" w:color="auto"/>
            </w:tcBorders>
            <w:shd w:val="clear" w:color="auto" w:fill="auto"/>
            <w:noWrap/>
            <w:vAlign w:val="bottom"/>
            <w:hideMark/>
          </w:tcPr>
          <w:p w14:paraId="6333B68E"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 xml:space="preserve">цена </w:t>
            </w:r>
            <w:proofErr w:type="spellStart"/>
            <w:r w:rsidRPr="0057086A">
              <w:rPr>
                <w:rFonts w:eastAsia="Times New Roman" w:cs="Arial"/>
                <w:color w:val="000000"/>
                <w:spacing w:val="0"/>
                <w:sz w:val="16"/>
                <w:szCs w:val="16"/>
                <w:lang w:eastAsia="en-US"/>
              </w:rPr>
              <w:t>инд.канал</w:t>
            </w:r>
            <w:proofErr w:type="spellEnd"/>
          </w:p>
        </w:tc>
        <w:tc>
          <w:tcPr>
            <w:tcW w:w="470" w:type="pct"/>
            <w:tcBorders>
              <w:top w:val="nil"/>
              <w:left w:val="nil"/>
              <w:bottom w:val="single" w:sz="8" w:space="0" w:color="auto"/>
              <w:right w:val="single" w:sz="4" w:space="0" w:color="auto"/>
            </w:tcBorders>
            <w:shd w:val="clear" w:color="auto" w:fill="auto"/>
            <w:noWrap/>
            <w:vAlign w:val="bottom"/>
            <w:hideMark/>
          </w:tcPr>
          <w:p w14:paraId="51EF4113"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8" w:space="0" w:color="auto"/>
              <w:right w:val="nil"/>
            </w:tcBorders>
            <w:shd w:val="clear" w:color="auto" w:fill="auto"/>
            <w:noWrap/>
            <w:hideMark/>
          </w:tcPr>
          <w:p w14:paraId="62A0476C" w14:textId="74A2E65C"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c>
          <w:tcPr>
            <w:tcW w:w="429" w:type="pct"/>
            <w:tcBorders>
              <w:top w:val="nil"/>
              <w:left w:val="single" w:sz="4" w:space="0" w:color="auto"/>
              <w:bottom w:val="single" w:sz="8" w:space="0" w:color="auto"/>
              <w:right w:val="nil"/>
            </w:tcBorders>
            <w:shd w:val="clear" w:color="auto" w:fill="auto"/>
            <w:noWrap/>
            <w:hideMark/>
          </w:tcPr>
          <w:p w14:paraId="39E0EC0D" w14:textId="31F46072"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c>
          <w:tcPr>
            <w:tcW w:w="429" w:type="pct"/>
            <w:tcBorders>
              <w:top w:val="nil"/>
              <w:left w:val="single" w:sz="4" w:space="0" w:color="auto"/>
              <w:bottom w:val="single" w:sz="8" w:space="0" w:color="auto"/>
              <w:right w:val="nil"/>
            </w:tcBorders>
            <w:shd w:val="clear" w:color="auto" w:fill="auto"/>
            <w:noWrap/>
            <w:hideMark/>
          </w:tcPr>
          <w:p w14:paraId="04CC8532" w14:textId="3ABDF9FD"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c>
          <w:tcPr>
            <w:tcW w:w="430" w:type="pct"/>
            <w:tcBorders>
              <w:top w:val="nil"/>
              <w:left w:val="single" w:sz="4" w:space="0" w:color="auto"/>
              <w:bottom w:val="single" w:sz="8" w:space="0" w:color="auto"/>
              <w:right w:val="nil"/>
            </w:tcBorders>
            <w:shd w:val="clear" w:color="auto" w:fill="auto"/>
            <w:noWrap/>
            <w:hideMark/>
          </w:tcPr>
          <w:p w14:paraId="351E73CE" w14:textId="54A3A5F8"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c>
          <w:tcPr>
            <w:tcW w:w="430" w:type="pct"/>
            <w:tcBorders>
              <w:top w:val="nil"/>
              <w:left w:val="single" w:sz="4" w:space="0" w:color="auto"/>
              <w:bottom w:val="single" w:sz="8" w:space="0" w:color="auto"/>
              <w:right w:val="nil"/>
            </w:tcBorders>
            <w:shd w:val="clear" w:color="auto" w:fill="auto"/>
            <w:noWrap/>
            <w:hideMark/>
          </w:tcPr>
          <w:p w14:paraId="6C4D78DB" w14:textId="7253148B"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c>
          <w:tcPr>
            <w:tcW w:w="430" w:type="pct"/>
            <w:tcBorders>
              <w:top w:val="nil"/>
              <w:left w:val="single" w:sz="4" w:space="0" w:color="auto"/>
              <w:bottom w:val="single" w:sz="8" w:space="0" w:color="auto"/>
              <w:right w:val="nil"/>
            </w:tcBorders>
            <w:shd w:val="clear" w:color="auto" w:fill="auto"/>
            <w:noWrap/>
            <w:hideMark/>
          </w:tcPr>
          <w:p w14:paraId="73224D49" w14:textId="7C49B1BB"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c>
          <w:tcPr>
            <w:tcW w:w="419" w:type="pct"/>
            <w:tcBorders>
              <w:top w:val="nil"/>
              <w:left w:val="single" w:sz="4" w:space="0" w:color="auto"/>
              <w:bottom w:val="single" w:sz="8" w:space="0" w:color="auto"/>
              <w:right w:val="single" w:sz="4" w:space="0" w:color="auto"/>
            </w:tcBorders>
            <w:shd w:val="clear" w:color="auto" w:fill="auto"/>
            <w:noWrap/>
            <w:hideMark/>
          </w:tcPr>
          <w:p w14:paraId="05FBE0BC" w14:textId="7F0F0B23"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1A2276">
              <w:rPr>
                <w:rFonts w:cs="Arial"/>
                <w:color w:val="000000"/>
                <w:sz w:val="16"/>
                <w:szCs w:val="16"/>
                <w:lang w:val="en-US"/>
              </w:rPr>
              <w:t>x,xx</w:t>
            </w:r>
            <w:proofErr w:type="spellEnd"/>
            <w:proofErr w:type="gramEnd"/>
          </w:p>
        </w:tc>
      </w:tr>
      <w:tr w:rsidR="007C756E" w:rsidRPr="0057086A" w14:paraId="372BD771" w14:textId="77777777" w:rsidTr="00AD4C45">
        <w:trPr>
          <w:trHeight w:val="255"/>
        </w:trPr>
        <w:tc>
          <w:tcPr>
            <w:tcW w:w="775" w:type="pct"/>
            <w:vMerge w:val="restart"/>
            <w:tcBorders>
              <w:top w:val="nil"/>
              <w:left w:val="single" w:sz="8" w:space="0" w:color="auto"/>
              <w:bottom w:val="nil"/>
              <w:right w:val="single" w:sz="4" w:space="0" w:color="auto"/>
            </w:tcBorders>
            <w:shd w:val="clear" w:color="auto" w:fill="auto"/>
            <w:noWrap/>
            <w:vAlign w:val="center"/>
            <w:hideMark/>
          </w:tcPr>
          <w:p w14:paraId="5134E11E"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ТЕЦ питейна вода</w:t>
            </w:r>
          </w:p>
        </w:tc>
        <w:tc>
          <w:tcPr>
            <w:tcW w:w="759" w:type="pct"/>
            <w:tcBorders>
              <w:top w:val="nil"/>
              <w:left w:val="nil"/>
              <w:bottom w:val="single" w:sz="4" w:space="0" w:color="auto"/>
              <w:right w:val="single" w:sz="4" w:space="0" w:color="auto"/>
            </w:tcBorders>
            <w:shd w:val="clear" w:color="auto" w:fill="auto"/>
            <w:noWrap/>
            <w:vAlign w:val="bottom"/>
            <w:hideMark/>
          </w:tcPr>
          <w:p w14:paraId="74AD25C5"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70" w:type="pct"/>
            <w:tcBorders>
              <w:top w:val="nil"/>
              <w:left w:val="nil"/>
              <w:bottom w:val="single" w:sz="4" w:space="0" w:color="auto"/>
              <w:right w:val="single" w:sz="4" w:space="0" w:color="auto"/>
            </w:tcBorders>
            <w:shd w:val="clear" w:color="auto" w:fill="auto"/>
            <w:noWrap/>
            <w:vAlign w:val="bottom"/>
            <w:hideMark/>
          </w:tcPr>
          <w:p w14:paraId="318EE9A8"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000000" w:fill="FFFFFF"/>
            <w:noWrap/>
            <w:hideMark/>
          </w:tcPr>
          <w:p w14:paraId="52A6ABDF" w14:textId="493F8929" w:rsidR="007C756E" w:rsidRPr="007C756E" w:rsidRDefault="007C756E" w:rsidP="007C756E">
            <w:pPr>
              <w:spacing w:line="240" w:lineRule="auto"/>
              <w:jc w:val="right"/>
              <w:rPr>
                <w:rFonts w:eastAsia="Times New Roman" w:cs="Arial"/>
                <w:b/>
                <w:bCs/>
                <w:color w:val="000000"/>
                <w:spacing w:val="0"/>
                <w:sz w:val="16"/>
                <w:szCs w:val="16"/>
                <w:lang w:eastAsia="en-US"/>
              </w:rPr>
            </w:pPr>
            <w:r w:rsidRPr="007C756E">
              <w:rPr>
                <w:b/>
                <w:bCs/>
              </w:rPr>
              <w:t>x xxx</w:t>
            </w:r>
          </w:p>
        </w:tc>
        <w:tc>
          <w:tcPr>
            <w:tcW w:w="429" w:type="pct"/>
            <w:tcBorders>
              <w:top w:val="nil"/>
              <w:left w:val="nil"/>
              <w:bottom w:val="single" w:sz="4" w:space="0" w:color="auto"/>
              <w:right w:val="nil"/>
            </w:tcBorders>
            <w:shd w:val="clear" w:color="000000" w:fill="FFFFFF"/>
            <w:noWrap/>
            <w:hideMark/>
          </w:tcPr>
          <w:p w14:paraId="5F1C5BAF" w14:textId="66F87BE1" w:rsidR="007C756E" w:rsidRPr="007C756E" w:rsidRDefault="007C756E" w:rsidP="007C756E">
            <w:pPr>
              <w:spacing w:line="240" w:lineRule="auto"/>
              <w:jc w:val="right"/>
              <w:rPr>
                <w:rFonts w:eastAsia="Times New Roman" w:cs="Arial"/>
                <w:b/>
                <w:bCs/>
                <w:color w:val="000000"/>
                <w:spacing w:val="0"/>
                <w:sz w:val="16"/>
                <w:szCs w:val="16"/>
                <w:lang w:eastAsia="en-US"/>
              </w:rPr>
            </w:pPr>
            <w:r w:rsidRPr="007C756E">
              <w:rPr>
                <w:b/>
                <w:bCs/>
              </w:rPr>
              <w:t>x xxx</w:t>
            </w:r>
          </w:p>
        </w:tc>
        <w:tc>
          <w:tcPr>
            <w:tcW w:w="429" w:type="pct"/>
            <w:tcBorders>
              <w:top w:val="nil"/>
              <w:left w:val="single" w:sz="4" w:space="0" w:color="auto"/>
              <w:bottom w:val="single" w:sz="4" w:space="0" w:color="auto"/>
              <w:right w:val="nil"/>
            </w:tcBorders>
            <w:shd w:val="clear" w:color="000000" w:fill="FFFFFF"/>
            <w:noWrap/>
            <w:hideMark/>
          </w:tcPr>
          <w:p w14:paraId="5DF621F6" w14:textId="7655B59B" w:rsidR="007C756E" w:rsidRPr="007C756E" w:rsidRDefault="007C756E" w:rsidP="007C756E">
            <w:pPr>
              <w:spacing w:line="240" w:lineRule="auto"/>
              <w:jc w:val="right"/>
              <w:rPr>
                <w:rFonts w:eastAsia="Times New Roman" w:cs="Arial"/>
                <w:b/>
                <w:bCs/>
                <w:color w:val="000000"/>
                <w:spacing w:val="0"/>
                <w:sz w:val="16"/>
                <w:szCs w:val="16"/>
                <w:lang w:eastAsia="en-US"/>
              </w:rPr>
            </w:pPr>
            <w:r w:rsidRPr="007C756E">
              <w:rPr>
                <w:b/>
                <w:bCs/>
              </w:rPr>
              <w:t>x xxx</w:t>
            </w:r>
          </w:p>
        </w:tc>
        <w:tc>
          <w:tcPr>
            <w:tcW w:w="430" w:type="pct"/>
            <w:tcBorders>
              <w:top w:val="nil"/>
              <w:left w:val="single" w:sz="4" w:space="0" w:color="auto"/>
              <w:bottom w:val="single" w:sz="4" w:space="0" w:color="auto"/>
              <w:right w:val="single" w:sz="4" w:space="0" w:color="auto"/>
            </w:tcBorders>
            <w:shd w:val="clear" w:color="000000" w:fill="FFFFFF"/>
            <w:noWrap/>
            <w:hideMark/>
          </w:tcPr>
          <w:p w14:paraId="4681CEF5" w14:textId="11CEEDFB" w:rsidR="007C756E" w:rsidRPr="007C756E" w:rsidRDefault="007C756E" w:rsidP="007C756E">
            <w:pPr>
              <w:spacing w:line="240" w:lineRule="auto"/>
              <w:jc w:val="right"/>
              <w:rPr>
                <w:rFonts w:eastAsia="Times New Roman" w:cs="Arial"/>
                <w:b/>
                <w:bCs/>
                <w:color w:val="000000"/>
                <w:spacing w:val="0"/>
                <w:sz w:val="16"/>
                <w:szCs w:val="16"/>
                <w:lang w:eastAsia="en-US"/>
              </w:rPr>
            </w:pPr>
            <w:r w:rsidRPr="007C756E">
              <w:rPr>
                <w:b/>
                <w:bCs/>
              </w:rPr>
              <w:t>x xxx</w:t>
            </w:r>
          </w:p>
        </w:tc>
        <w:tc>
          <w:tcPr>
            <w:tcW w:w="430" w:type="pct"/>
            <w:tcBorders>
              <w:top w:val="nil"/>
              <w:left w:val="nil"/>
              <w:bottom w:val="single" w:sz="4" w:space="0" w:color="auto"/>
              <w:right w:val="single" w:sz="4" w:space="0" w:color="auto"/>
            </w:tcBorders>
            <w:shd w:val="clear" w:color="000000" w:fill="FFFFFF"/>
            <w:noWrap/>
            <w:hideMark/>
          </w:tcPr>
          <w:p w14:paraId="7CED58C1" w14:textId="06CFB4CE" w:rsidR="007C756E" w:rsidRPr="007C756E" w:rsidRDefault="007C756E" w:rsidP="007C756E">
            <w:pPr>
              <w:spacing w:line="240" w:lineRule="auto"/>
              <w:jc w:val="right"/>
              <w:rPr>
                <w:rFonts w:eastAsia="Times New Roman" w:cs="Arial"/>
                <w:b/>
                <w:bCs/>
                <w:color w:val="000000"/>
                <w:spacing w:val="0"/>
                <w:sz w:val="16"/>
                <w:szCs w:val="16"/>
                <w:lang w:eastAsia="en-US"/>
              </w:rPr>
            </w:pPr>
            <w:r w:rsidRPr="007C756E">
              <w:rPr>
                <w:b/>
                <w:bCs/>
              </w:rPr>
              <w:t>x xxx</w:t>
            </w:r>
          </w:p>
        </w:tc>
        <w:tc>
          <w:tcPr>
            <w:tcW w:w="430" w:type="pct"/>
            <w:tcBorders>
              <w:top w:val="nil"/>
              <w:left w:val="nil"/>
              <w:bottom w:val="single" w:sz="4" w:space="0" w:color="auto"/>
              <w:right w:val="nil"/>
            </w:tcBorders>
            <w:shd w:val="clear" w:color="000000" w:fill="FFFFFF"/>
            <w:noWrap/>
            <w:hideMark/>
          </w:tcPr>
          <w:p w14:paraId="3872D674" w14:textId="6E045312" w:rsidR="007C756E" w:rsidRPr="007C756E" w:rsidRDefault="007C756E" w:rsidP="007C756E">
            <w:pPr>
              <w:spacing w:line="240" w:lineRule="auto"/>
              <w:jc w:val="right"/>
              <w:rPr>
                <w:rFonts w:eastAsia="Times New Roman" w:cs="Arial"/>
                <w:b/>
                <w:bCs/>
                <w:color w:val="000000"/>
                <w:spacing w:val="0"/>
                <w:sz w:val="16"/>
                <w:szCs w:val="16"/>
                <w:lang w:eastAsia="en-US"/>
              </w:rPr>
            </w:pPr>
            <w:r w:rsidRPr="007C756E">
              <w:rPr>
                <w:b/>
                <w:bCs/>
              </w:rPr>
              <w:t>x xxx</w:t>
            </w:r>
          </w:p>
        </w:tc>
        <w:tc>
          <w:tcPr>
            <w:tcW w:w="419" w:type="pct"/>
            <w:tcBorders>
              <w:top w:val="nil"/>
              <w:left w:val="single" w:sz="4" w:space="0" w:color="auto"/>
              <w:bottom w:val="single" w:sz="4" w:space="0" w:color="auto"/>
              <w:right w:val="single" w:sz="4" w:space="0" w:color="auto"/>
            </w:tcBorders>
            <w:shd w:val="clear" w:color="000000" w:fill="FFFFFF"/>
            <w:noWrap/>
            <w:hideMark/>
          </w:tcPr>
          <w:p w14:paraId="289A012D" w14:textId="3FA8313A" w:rsidR="007C756E" w:rsidRPr="007C756E" w:rsidRDefault="007C756E" w:rsidP="007C756E">
            <w:pPr>
              <w:spacing w:line="240" w:lineRule="auto"/>
              <w:jc w:val="right"/>
              <w:rPr>
                <w:rFonts w:eastAsia="Times New Roman" w:cs="Arial"/>
                <w:b/>
                <w:bCs/>
                <w:color w:val="000000"/>
                <w:spacing w:val="0"/>
                <w:sz w:val="16"/>
                <w:szCs w:val="16"/>
                <w:lang w:eastAsia="en-US"/>
              </w:rPr>
            </w:pPr>
            <w:r w:rsidRPr="007C756E">
              <w:rPr>
                <w:b/>
                <w:bCs/>
              </w:rPr>
              <w:t>x xxx</w:t>
            </w:r>
          </w:p>
        </w:tc>
      </w:tr>
      <w:tr w:rsidR="007C756E" w:rsidRPr="0057086A" w14:paraId="5DEB359D" w14:textId="77777777" w:rsidTr="00454A16">
        <w:trPr>
          <w:trHeight w:val="255"/>
        </w:trPr>
        <w:tc>
          <w:tcPr>
            <w:tcW w:w="775" w:type="pct"/>
            <w:vMerge/>
            <w:tcBorders>
              <w:top w:val="nil"/>
              <w:left w:val="single" w:sz="8" w:space="0" w:color="auto"/>
              <w:bottom w:val="nil"/>
              <w:right w:val="single" w:sz="4" w:space="0" w:color="auto"/>
            </w:tcBorders>
            <w:vAlign w:val="center"/>
            <w:hideMark/>
          </w:tcPr>
          <w:p w14:paraId="27F4D774"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76FA48F7"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70" w:type="pct"/>
            <w:tcBorders>
              <w:top w:val="nil"/>
              <w:left w:val="nil"/>
              <w:bottom w:val="single" w:sz="4" w:space="0" w:color="auto"/>
              <w:right w:val="single" w:sz="4" w:space="0" w:color="auto"/>
            </w:tcBorders>
            <w:shd w:val="clear" w:color="auto" w:fill="auto"/>
            <w:noWrap/>
            <w:vAlign w:val="bottom"/>
            <w:hideMark/>
          </w:tcPr>
          <w:p w14:paraId="7ACE2509"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516FCD78" w14:textId="70072CD7"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492A5088" w14:textId="05200A04"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7760465F" w14:textId="4FAC7B37"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4378A9F7" w14:textId="1E03EB93"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071D4186" w14:textId="2A29728D"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08676E86" w14:textId="69179133"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19" w:type="pct"/>
            <w:tcBorders>
              <w:top w:val="nil"/>
              <w:left w:val="nil"/>
              <w:bottom w:val="single" w:sz="4" w:space="0" w:color="auto"/>
              <w:right w:val="single" w:sz="4" w:space="0" w:color="auto"/>
            </w:tcBorders>
            <w:shd w:val="clear" w:color="auto" w:fill="auto"/>
            <w:noWrap/>
            <w:hideMark/>
          </w:tcPr>
          <w:p w14:paraId="0307D10B" w14:textId="70D28B3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r>
      <w:tr w:rsidR="007C756E" w:rsidRPr="0057086A" w14:paraId="6C4AEB67" w14:textId="77777777" w:rsidTr="00454A16">
        <w:trPr>
          <w:trHeight w:val="255"/>
        </w:trPr>
        <w:tc>
          <w:tcPr>
            <w:tcW w:w="775" w:type="pct"/>
            <w:vMerge/>
            <w:tcBorders>
              <w:top w:val="nil"/>
              <w:left w:val="single" w:sz="8" w:space="0" w:color="auto"/>
              <w:bottom w:val="nil"/>
              <w:right w:val="single" w:sz="4" w:space="0" w:color="auto"/>
            </w:tcBorders>
            <w:vAlign w:val="center"/>
            <w:hideMark/>
          </w:tcPr>
          <w:p w14:paraId="23749EBB"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4BFA3C7B"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70" w:type="pct"/>
            <w:tcBorders>
              <w:top w:val="nil"/>
              <w:left w:val="nil"/>
              <w:bottom w:val="single" w:sz="4" w:space="0" w:color="auto"/>
              <w:right w:val="single" w:sz="4" w:space="0" w:color="auto"/>
            </w:tcBorders>
            <w:shd w:val="clear" w:color="auto" w:fill="auto"/>
            <w:noWrap/>
            <w:vAlign w:val="bottom"/>
            <w:hideMark/>
          </w:tcPr>
          <w:p w14:paraId="59EF1EA3"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457738E4" w14:textId="424A769B"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09CE6F54" w14:textId="0A47641D"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4F919D97" w14:textId="3F24A4D2"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20578CEA" w14:textId="6B564340"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59C5A56D" w14:textId="40334CF4"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0E683E30" w14:textId="172FEB68"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19" w:type="pct"/>
            <w:tcBorders>
              <w:top w:val="nil"/>
              <w:left w:val="nil"/>
              <w:bottom w:val="single" w:sz="4" w:space="0" w:color="auto"/>
              <w:right w:val="single" w:sz="4" w:space="0" w:color="auto"/>
            </w:tcBorders>
            <w:shd w:val="clear" w:color="auto" w:fill="auto"/>
            <w:noWrap/>
            <w:hideMark/>
          </w:tcPr>
          <w:p w14:paraId="50266704" w14:textId="2EC2F1E4"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r>
      <w:tr w:rsidR="007C756E" w:rsidRPr="0057086A" w14:paraId="16C1088C" w14:textId="77777777" w:rsidTr="00454A16">
        <w:trPr>
          <w:trHeight w:val="270"/>
        </w:trPr>
        <w:tc>
          <w:tcPr>
            <w:tcW w:w="775" w:type="pct"/>
            <w:vMerge/>
            <w:tcBorders>
              <w:top w:val="nil"/>
              <w:left w:val="single" w:sz="8" w:space="0" w:color="auto"/>
              <w:bottom w:val="nil"/>
              <w:right w:val="single" w:sz="4" w:space="0" w:color="auto"/>
            </w:tcBorders>
            <w:vAlign w:val="center"/>
            <w:hideMark/>
          </w:tcPr>
          <w:p w14:paraId="1135BE4A"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59" w:type="pct"/>
            <w:tcBorders>
              <w:top w:val="nil"/>
              <w:left w:val="nil"/>
              <w:bottom w:val="nil"/>
              <w:right w:val="single" w:sz="4" w:space="0" w:color="auto"/>
            </w:tcBorders>
            <w:shd w:val="clear" w:color="auto" w:fill="auto"/>
            <w:noWrap/>
            <w:vAlign w:val="bottom"/>
            <w:hideMark/>
          </w:tcPr>
          <w:p w14:paraId="55D1D7B3"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70" w:type="pct"/>
            <w:tcBorders>
              <w:top w:val="nil"/>
              <w:left w:val="nil"/>
              <w:bottom w:val="nil"/>
              <w:right w:val="single" w:sz="4" w:space="0" w:color="auto"/>
            </w:tcBorders>
            <w:shd w:val="clear" w:color="auto" w:fill="auto"/>
            <w:noWrap/>
            <w:vAlign w:val="bottom"/>
            <w:hideMark/>
          </w:tcPr>
          <w:p w14:paraId="6E4CDE6B"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nil"/>
              <w:right w:val="single" w:sz="4" w:space="0" w:color="auto"/>
            </w:tcBorders>
            <w:shd w:val="clear" w:color="auto" w:fill="auto"/>
            <w:noWrap/>
            <w:hideMark/>
          </w:tcPr>
          <w:p w14:paraId="15FD9A65" w14:textId="62D140EE"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29" w:type="pct"/>
            <w:tcBorders>
              <w:top w:val="nil"/>
              <w:left w:val="nil"/>
              <w:bottom w:val="nil"/>
              <w:right w:val="single" w:sz="4" w:space="0" w:color="auto"/>
            </w:tcBorders>
            <w:shd w:val="clear" w:color="auto" w:fill="auto"/>
            <w:noWrap/>
            <w:hideMark/>
          </w:tcPr>
          <w:p w14:paraId="3D18E158" w14:textId="5A724A10"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29" w:type="pct"/>
            <w:tcBorders>
              <w:top w:val="nil"/>
              <w:left w:val="nil"/>
              <w:bottom w:val="nil"/>
              <w:right w:val="single" w:sz="4" w:space="0" w:color="auto"/>
            </w:tcBorders>
            <w:shd w:val="clear" w:color="auto" w:fill="auto"/>
            <w:noWrap/>
            <w:hideMark/>
          </w:tcPr>
          <w:p w14:paraId="7E89BFD6" w14:textId="0BB48BB7"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30" w:type="pct"/>
            <w:tcBorders>
              <w:top w:val="nil"/>
              <w:left w:val="nil"/>
              <w:bottom w:val="nil"/>
              <w:right w:val="single" w:sz="4" w:space="0" w:color="auto"/>
            </w:tcBorders>
            <w:shd w:val="clear" w:color="auto" w:fill="auto"/>
            <w:noWrap/>
            <w:hideMark/>
          </w:tcPr>
          <w:p w14:paraId="059170E7" w14:textId="3CA74FA7"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30" w:type="pct"/>
            <w:tcBorders>
              <w:top w:val="nil"/>
              <w:left w:val="nil"/>
              <w:bottom w:val="nil"/>
              <w:right w:val="single" w:sz="4" w:space="0" w:color="auto"/>
            </w:tcBorders>
            <w:shd w:val="clear" w:color="auto" w:fill="auto"/>
            <w:noWrap/>
            <w:hideMark/>
          </w:tcPr>
          <w:p w14:paraId="37A500A5" w14:textId="4ECF5BBB"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30" w:type="pct"/>
            <w:tcBorders>
              <w:top w:val="nil"/>
              <w:left w:val="nil"/>
              <w:bottom w:val="nil"/>
              <w:right w:val="single" w:sz="4" w:space="0" w:color="auto"/>
            </w:tcBorders>
            <w:shd w:val="clear" w:color="auto" w:fill="auto"/>
            <w:noWrap/>
            <w:hideMark/>
          </w:tcPr>
          <w:p w14:paraId="501692A8" w14:textId="128DEF6D"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c>
          <w:tcPr>
            <w:tcW w:w="419" w:type="pct"/>
            <w:tcBorders>
              <w:top w:val="nil"/>
              <w:left w:val="nil"/>
              <w:bottom w:val="nil"/>
              <w:right w:val="single" w:sz="4" w:space="0" w:color="auto"/>
            </w:tcBorders>
            <w:shd w:val="clear" w:color="auto" w:fill="auto"/>
            <w:noWrap/>
            <w:hideMark/>
          </w:tcPr>
          <w:p w14:paraId="0D051345" w14:textId="664B1040"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5242">
              <w:rPr>
                <w:rFonts w:cs="Arial"/>
                <w:color w:val="000000"/>
                <w:sz w:val="16"/>
                <w:szCs w:val="16"/>
                <w:lang w:val="en-US"/>
              </w:rPr>
              <w:t>x,xx</w:t>
            </w:r>
            <w:proofErr w:type="spellEnd"/>
            <w:proofErr w:type="gramEnd"/>
          </w:p>
        </w:tc>
      </w:tr>
      <w:tr w:rsidR="007C756E" w:rsidRPr="0057086A" w14:paraId="3E8DA1D8" w14:textId="77777777" w:rsidTr="004928A6">
        <w:trPr>
          <w:trHeight w:val="255"/>
        </w:trPr>
        <w:tc>
          <w:tcPr>
            <w:tcW w:w="775" w:type="pct"/>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0671AB78"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ОЦ производство</w:t>
            </w:r>
          </w:p>
        </w:tc>
        <w:tc>
          <w:tcPr>
            <w:tcW w:w="759" w:type="pct"/>
            <w:tcBorders>
              <w:top w:val="single" w:sz="8" w:space="0" w:color="auto"/>
              <w:left w:val="nil"/>
              <w:bottom w:val="single" w:sz="4" w:space="0" w:color="auto"/>
              <w:right w:val="single" w:sz="4" w:space="0" w:color="auto"/>
            </w:tcBorders>
            <w:shd w:val="clear" w:color="auto" w:fill="auto"/>
            <w:noWrap/>
            <w:vAlign w:val="bottom"/>
            <w:hideMark/>
          </w:tcPr>
          <w:p w14:paraId="51CBCE72"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70" w:type="pct"/>
            <w:tcBorders>
              <w:top w:val="single" w:sz="8" w:space="0" w:color="auto"/>
              <w:left w:val="nil"/>
              <w:bottom w:val="single" w:sz="4" w:space="0" w:color="auto"/>
              <w:right w:val="single" w:sz="4" w:space="0" w:color="auto"/>
            </w:tcBorders>
            <w:shd w:val="clear" w:color="auto" w:fill="auto"/>
            <w:noWrap/>
            <w:vAlign w:val="bottom"/>
            <w:hideMark/>
          </w:tcPr>
          <w:p w14:paraId="12BBB991"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29" w:type="pc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46CAB476" w14:textId="5034632C" w:rsidR="007C756E" w:rsidRPr="007C756E" w:rsidRDefault="007C756E" w:rsidP="007C756E">
            <w:pPr>
              <w:spacing w:line="240" w:lineRule="auto"/>
              <w:rPr>
                <w:rFonts w:eastAsia="Times New Roman" w:cs="Arial"/>
                <w:b/>
                <w:bCs/>
                <w:color w:val="FF0000"/>
                <w:spacing w:val="0"/>
                <w:sz w:val="16"/>
                <w:szCs w:val="16"/>
                <w:lang w:val="en-US" w:eastAsia="en-US"/>
              </w:rPr>
            </w:pPr>
            <w:r>
              <w:rPr>
                <w:rFonts w:cs="Arial"/>
                <w:b/>
                <w:bCs/>
                <w:color w:val="000000"/>
                <w:sz w:val="16"/>
                <w:szCs w:val="16"/>
                <w:lang w:val="en-US"/>
              </w:rPr>
              <w:t>xxx</w:t>
            </w:r>
          </w:p>
        </w:tc>
        <w:tc>
          <w:tcPr>
            <w:tcW w:w="429" w:type="pct"/>
            <w:tcBorders>
              <w:top w:val="single" w:sz="8" w:space="0" w:color="auto"/>
              <w:left w:val="nil"/>
              <w:bottom w:val="single" w:sz="4" w:space="0" w:color="auto"/>
              <w:right w:val="nil"/>
            </w:tcBorders>
            <w:shd w:val="clear" w:color="auto" w:fill="auto"/>
            <w:noWrap/>
            <w:hideMark/>
          </w:tcPr>
          <w:p w14:paraId="6979E2F7" w14:textId="551022A0" w:rsidR="007C756E" w:rsidRPr="0057086A" w:rsidRDefault="007C756E" w:rsidP="007C756E">
            <w:pPr>
              <w:spacing w:line="240" w:lineRule="auto"/>
              <w:jc w:val="right"/>
              <w:rPr>
                <w:rFonts w:eastAsia="Times New Roman" w:cs="Arial"/>
                <w:b/>
                <w:bCs/>
                <w:color w:val="FF0000"/>
                <w:spacing w:val="0"/>
                <w:sz w:val="16"/>
                <w:szCs w:val="16"/>
                <w:lang w:eastAsia="en-US"/>
              </w:rPr>
            </w:pPr>
            <w:r w:rsidRPr="0039240C">
              <w:rPr>
                <w:rFonts w:cs="Arial"/>
                <w:b/>
                <w:bCs/>
                <w:color w:val="000000"/>
                <w:sz w:val="16"/>
                <w:szCs w:val="16"/>
                <w:lang w:val="en-US"/>
              </w:rPr>
              <w:t>xxx</w:t>
            </w:r>
          </w:p>
        </w:tc>
        <w:tc>
          <w:tcPr>
            <w:tcW w:w="429" w:type="pct"/>
            <w:tcBorders>
              <w:top w:val="single" w:sz="8" w:space="0" w:color="auto"/>
              <w:left w:val="single" w:sz="4" w:space="0" w:color="auto"/>
              <w:bottom w:val="single" w:sz="4" w:space="0" w:color="auto"/>
              <w:right w:val="nil"/>
            </w:tcBorders>
            <w:shd w:val="clear" w:color="auto" w:fill="auto"/>
            <w:noWrap/>
            <w:hideMark/>
          </w:tcPr>
          <w:p w14:paraId="0404FE3E" w14:textId="02D3C9F0" w:rsidR="007C756E" w:rsidRPr="0057086A" w:rsidRDefault="007C756E" w:rsidP="007C756E">
            <w:pPr>
              <w:spacing w:line="240" w:lineRule="auto"/>
              <w:jc w:val="right"/>
              <w:rPr>
                <w:rFonts w:eastAsia="Times New Roman" w:cs="Arial"/>
                <w:b/>
                <w:bCs/>
                <w:color w:val="FF0000"/>
                <w:spacing w:val="0"/>
                <w:sz w:val="16"/>
                <w:szCs w:val="16"/>
                <w:lang w:eastAsia="en-US"/>
              </w:rPr>
            </w:pPr>
            <w:r w:rsidRPr="0039240C">
              <w:rPr>
                <w:rFonts w:cs="Arial"/>
                <w:b/>
                <w:bCs/>
                <w:color w:val="000000"/>
                <w:sz w:val="16"/>
                <w:szCs w:val="16"/>
                <w:lang w:val="en-US"/>
              </w:rPr>
              <w:t>xxx</w:t>
            </w:r>
          </w:p>
        </w:tc>
        <w:tc>
          <w:tcPr>
            <w:tcW w:w="430" w:type="pct"/>
            <w:tcBorders>
              <w:top w:val="single" w:sz="8" w:space="0" w:color="auto"/>
              <w:left w:val="single" w:sz="4" w:space="0" w:color="auto"/>
              <w:bottom w:val="single" w:sz="4" w:space="0" w:color="auto"/>
              <w:right w:val="nil"/>
            </w:tcBorders>
            <w:shd w:val="clear" w:color="auto" w:fill="auto"/>
            <w:noWrap/>
            <w:hideMark/>
          </w:tcPr>
          <w:p w14:paraId="4E9A4233" w14:textId="3DFD729B" w:rsidR="007C756E" w:rsidRPr="0057086A" w:rsidRDefault="007C756E" w:rsidP="007C756E">
            <w:pPr>
              <w:spacing w:line="240" w:lineRule="auto"/>
              <w:jc w:val="right"/>
              <w:rPr>
                <w:rFonts w:eastAsia="Times New Roman" w:cs="Arial"/>
                <w:b/>
                <w:bCs/>
                <w:color w:val="FF0000"/>
                <w:spacing w:val="0"/>
                <w:sz w:val="16"/>
                <w:szCs w:val="16"/>
                <w:lang w:eastAsia="en-US"/>
              </w:rPr>
            </w:pPr>
            <w:r w:rsidRPr="0039240C">
              <w:rPr>
                <w:rFonts w:cs="Arial"/>
                <w:b/>
                <w:bCs/>
                <w:color w:val="000000"/>
                <w:sz w:val="16"/>
                <w:szCs w:val="16"/>
                <w:lang w:val="en-US"/>
              </w:rPr>
              <w:t>xxx</w:t>
            </w:r>
          </w:p>
        </w:tc>
        <w:tc>
          <w:tcPr>
            <w:tcW w:w="430" w:type="pct"/>
            <w:tcBorders>
              <w:top w:val="single" w:sz="8" w:space="0" w:color="auto"/>
              <w:left w:val="single" w:sz="4" w:space="0" w:color="auto"/>
              <w:bottom w:val="single" w:sz="4" w:space="0" w:color="auto"/>
              <w:right w:val="nil"/>
            </w:tcBorders>
            <w:shd w:val="clear" w:color="000000" w:fill="FFFFFF"/>
            <w:noWrap/>
            <w:hideMark/>
          </w:tcPr>
          <w:p w14:paraId="0EEA88C7" w14:textId="2B4B1296" w:rsidR="007C756E" w:rsidRPr="0057086A" w:rsidRDefault="007C756E" w:rsidP="007C756E">
            <w:pPr>
              <w:spacing w:line="240" w:lineRule="auto"/>
              <w:jc w:val="right"/>
              <w:rPr>
                <w:rFonts w:eastAsia="Times New Roman" w:cs="Arial"/>
                <w:b/>
                <w:bCs/>
                <w:spacing w:val="0"/>
                <w:sz w:val="16"/>
                <w:szCs w:val="16"/>
                <w:lang w:eastAsia="en-US"/>
              </w:rPr>
            </w:pPr>
            <w:r w:rsidRPr="0039240C">
              <w:rPr>
                <w:rFonts w:cs="Arial"/>
                <w:b/>
                <w:bCs/>
                <w:color w:val="000000"/>
                <w:sz w:val="16"/>
                <w:szCs w:val="16"/>
                <w:lang w:val="en-US"/>
              </w:rPr>
              <w:t>xxx</w:t>
            </w:r>
          </w:p>
        </w:tc>
        <w:tc>
          <w:tcPr>
            <w:tcW w:w="430" w:type="pct"/>
            <w:tcBorders>
              <w:top w:val="single" w:sz="8" w:space="0" w:color="auto"/>
              <w:left w:val="single" w:sz="4" w:space="0" w:color="auto"/>
              <w:bottom w:val="single" w:sz="4" w:space="0" w:color="auto"/>
              <w:right w:val="nil"/>
            </w:tcBorders>
            <w:shd w:val="clear" w:color="000000" w:fill="FFFFFF"/>
            <w:noWrap/>
            <w:hideMark/>
          </w:tcPr>
          <w:p w14:paraId="568E037F" w14:textId="0D7CD63C" w:rsidR="007C756E" w:rsidRPr="0057086A" w:rsidRDefault="007C756E" w:rsidP="007C756E">
            <w:pPr>
              <w:spacing w:line="240" w:lineRule="auto"/>
              <w:jc w:val="right"/>
              <w:rPr>
                <w:rFonts w:eastAsia="Times New Roman" w:cs="Arial"/>
                <w:b/>
                <w:bCs/>
                <w:spacing w:val="0"/>
                <w:sz w:val="16"/>
                <w:szCs w:val="16"/>
                <w:lang w:eastAsia="en-US"/>
              </w:rPr>
            </w:pPr>
            <w:r w:rsidRPr="0039240C">
              <w:rPr>
                <w:rFonts w:cs="Arial"/>
                <w:b/>
                <w:bCs/>
                <w:color w:val="000000"/>
                <w:sz w:val="16"/>
                <w:szCs w:val="16"/>
                <w:lang w:val="en-US"/>
              </w:rPr>
              <w:t>xxx</w:t>
            </w:r>
          </w:p>
        </w:tc>
        <w:tc>
          <w:tcPr>
            <w:tcW w:w="419" w:type="pct"/>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21290ABC" w14:textId="0E5D204A" w:rsidR="007C756E" w:rsidRPr="007C756E" w:rsidRDefault="007C756E" w:rsidP="007C756E">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 xxx</w:t>
            </w:r>
          </w:p>
        </w:tc>
      </w:tr>
      <w:tr w:rsidR="007C756E" w:rsidRPr="0057086A" w14:paraId="14949A81" w14:textId="77777777" w:rsidTr="00D12F8A">
        <w:trPr>
          <w:trHeight w:val="255"/>
        </w:trPr>
        <w:tc>
          <w:tcPr>
            <w:tcW w:w="775" w:type="pct"/>
            <w:vMerge/>
            <w:tcBorders>
              <w:top w:val="single" w:sz="8" w:space="0" w:color="auto"/>
              <w:left w:val="single" w:sz="8" w:space="0" w:color="auto"/>
              <w:bottom w:val="single" w:sz="8" w:space="0" w:color="000000"/>
              <w:right w:val="single" w:sz="4" w:space="0" w:color="auto"/>
            </w:tcBorders>
            <w:vAlign w:val="center"/>
            <w:hideMark/>
          </w:tcPr>
          <w:p w14:paraId="5A86A340"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7A31A889"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70" w:type="pct"/>
            <w:tcBorders>
              <w:top w:val="nil"/>
              <w:left w:val="nil"/>
              <w:bottom w:val="single" w:sz="4" w:space="0" w:color="auto"/>
              <w:right w:val="single" w:sz="4" w:space="0" w:color="auto"/>
            </w:tcBorders>
            <w:shd w:val="clear" w:color="auto" w:fill="auto"/>
            <w:noWrap/>
            <w:vAlign w:val="bottom"/>
            <w:hideMark/>
          </w:tcPr>
          <w:p w14:paraId="5E1B8B40"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61B9FD46" w14:textId="76853937" w:rsidR="007C756E" w:rsidRPr="0057086A" w:rsidRDefault="007C756E" w:rsidP="007C756E">
            <w:pPr>
              <w:spacing w:line="240" w:lineRule="auto"/>
              <w:rPr>
                <w:rFonts w:eastAsia="Times New Roman" w:cs="Arial"/>
                <w:color w:val="FF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37365D44" w14:textId="13EA4E82" w:rsidR="007C756E" w:rsidRPr="0057086A" w:rsidRDefault="007C756E" w:rsidP="007C756E">
            <w:pPr>
              <w:spacing w:line="240" w:lineRule="auto"/>
              <w:jc w:val="right"/>
              <w:rPr>
                <w:rFonts w:eastAsia="Times New Roman" w:cs="Arial"/>
                <w:color w:val="FF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3BA4D6B1" w14:textId="17575117" w:rsidR="007C756E" w:rsidRPr="0057086A" w:rsidRDefault="007C756E" w:rsidP="007C756E">
            <w:pPr>
              <w:spacing w:line="240" w:lineRule="auto"/>
              <w:jc w:val="right"/>
              <w:rPr>
                <w:rFonts w:eastAsia="Times New Roman" w:cs="Arial"/>
                <w:color w:val="FF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3DCD07BD" w14:textId="178BDAF1" w:rsidR="007C756E" w:rsidRPr="0057086A" w:rsidRDefault="007C756E" w:rsidP="007C756E">
            <w:pPr>
              <w:spacing w:line="240" w:lineRule="auto"/>
              <w:jc w:val="right"/>
              <w:rPr>
                <w:rFonts w:eastAsia="Times New Roman" w:cs="Arial"/>
                <w:color w:val="FF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7DAEA36A" w14:textId="47F67032"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2FC01DD5" w14:textId="623A9EAE"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19" w:type="pct"/>
            <w:tcBorders>
              <w:top w:val="nil"/>
              <w:left w:val="nil"/>
              <w:bottom w:val="single" w:sz="4" w:space="0" w:color="auto"/>
              <w:right w:val="single" w:sz="4" w:space="0" w:color="auto"/>
            </w:tcBorders>
            <w:shd w:val="clear" w:color="auto" w:fill="auto"/>
            <w:noWrap/>
            <w:hideMark/>
          </w:tcPr>
          <w:p w14:paraId="784545D3" w14:textId="12CBE6CD"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r>
      <w:tr w:rsidR="007C756E" w:rsidRPr="0057086A" w14:paraId="76196684" w14:textId="77777777" w:rsidTr="00D12F8A">
        <w:trPr>
          <w:trHeight w:val="270"/>
        </w:trPr>
        <w:tc>
          <w:tcPr>
            <w:tcW w:w="775" w:type="pct"/>
            <w:vMerge/>
            <w:tcBorders>
              <w:top w:val="single" w:sz="8" w:space="0" w:color="auto"/>
              <w:left w:val="single" w:sz="8" w:space="0" w:color="auto"/>
              <w:bottom w:val="single" w:sz="8" w:space="0" w:color="000000"/>
              <w:right w:val="single" w:sz="4" w:space="0" w:color="auto"/>
            </w:tcBorders>
            <w:vAlign w:val="center"/>
            <w:hideMark/>
          </w:tcPr>
          <w:p w14:paraId="23F7FB3D"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59" w:type="pct"/>
            <w:tcBorders>
              <w:top w:val="nil"/>
              <w:left w:val="nil"/>
              <w:bottom w:val="single" w:sz="8" w:space="0" w:color="auto"/>
              <w:right w:val="single" w:sz="4" w:space="0" w:color="auto"/>
            </w:tcBorders>
            <w:shd w:val="clear" w:color="auto" w:fill="auto"/>
            <w:noWrap/>
            <w:vAlign w:val="bottom"/>
            <w:hideMark/>
          </w:tcPr>
          <w:p w14:paraId="7B6E2BB9"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 xml:space="preserve">цена </w:t>
            </w:r>
            <w:proofErr w:type="spellStart"/>
            <w:r w:rsidRPr="0057086A">
              <w:rPr>
                <w:rFonts w:eastAsia="Times New Roman" w:cs="Arial"/>
                <w:color w:val="000000"/>
                <w:spacing w:val="0"/>
                <w:sz w:val="16"/>
                <w:szCs w:val="16"/>
                <w:lang w:eastAsia="en-US"/>
              </w:rPr>
              <w:t>инд.канал</w:t>
            </w:r>
            <w:proofErr w:type="spellEnd"/>
          </w:p>
        </w:tc>
        <w:tc>
          <w:tcPr>
            <w:tcW w:w="470" w:type="pct"/>
            <w:tcBorders>
              <w:top w:val="nil"/>
              <w:left w:val="nil"/>
              <w:bottom w:val="single" w:sz="8" w:space="0" w:color="auto"/>
              <w:right w:val="single" w:sz="4" w:space="0" w:color="auto"/>
            </w:tcBorders>
            <w:shd w:val="clear" w:color="auto" w:fill="auto"/>
            <w:noWrap/>
            <w:vAlign w:val="bottom"/>
            <w:hideMark/>
          </w:tcPr>
          <w:p w14:paraId="4C904CDF"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8" w:space="0" w:color="auto"/>
              <w:right w:val="single" w:sz="4" w:space="0" w:color="auto"/>
            </w:tcBorders>
            <w:shd w:val="clear" w:color="auto" w:fill="auto"/>
            <w:noWrap/>
            <w:hideMark/>
          </w:tcPr>
          <w:p w14:paraId="56E1D9CE" w14:textId="08861112" w:rsidR="007C756E" w:rsidRPr="0057086A" w:rsidRDefault="007C756E" w:rsidP="007C756E">
            <w:pPr>
              <w:spacing w:line="240" w:lineRule="auto"/>
              <w:rPr>
                <w:rFonts w:eastAsia="Times New Roman" w:cs="Arial"/>
                <w:color w:val="FF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29" w:type="pct"/>
            <w:tcBorders>
              <w:top w:val="nil"/>
              <w:left w:val="nil"/>
              <w:bottom w:val="single" w:sz="8" w:space="0" w:color="auto"/>
              <w:right w:val="single" w:sz="4" w:space="0" w:color="auto"/>
            </w:tcBorders>
            <w:shd w:val="clear" w:color="auto" w:fill="auto"/>
            <w:noWrap/>
            <w:hideMark/>
          </w:tcPr>
          <w:p w14:paraId="316DA906" w14:textId="0D1D005C" w:rsidR="007C756E" w:rsidRPr="0057086A" w:rsidRDefault="007C756E" w:rsidP="007C756E">
            <w:pPr>
              <w:spacing w:line="240" w:lineRule="auto"/>
              <w:jc w:val="right"/>
              <w:rPr>
                <w:rFonts w:eastAsia="Times New Roman" w:cs="Arial"/>
                <w:color w:val="FF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29" w:type="pct"/>
            <w:tcBorders>
              <w:top w:val="nil"/>
              <w:left w:val="nil"/>
              <w:bottom w:val="single" w:sz="8" w:space="0" w:color="auto"/>
              <w:right w:val="single" w:sz="4" w:space="0" w:color="auto"/>
            </w:tcBorders>
            <w:shd w:val="clear" w:color="auto" w:fill="auto"/>
            <w:noWrap/>
            <w:hideMark/>
          </w:tcPr>
          <w:p w14:paraId="56FA2851" w14:textId="120E6295" w:rsidR="007C756E" w:rsidRPr="0057086A" w:rsidRDefault="007C756E" w:rsidP="007C756E">
            <w:pPr>
              <w:spacing w:line="240" w:lineRule="auto"/>
              <w:jc w:val="right"/>
              <w:rPr>
                <w:rFonts w:eastAsia="Times New Roman" w:cs="Arial"/>
                <w:color w:val="FF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30" w:type="pct"/>
            <w:tcBorders>
              <w:top w:val="nil"/>
              <w:left w:val="nil"/>
              <w:bottom w:val="single" w:sz="8" w:space="0" w:color="auto"/>
              <w:right w:val="single" w:sz="4" w:space="0" w:color="auto"/>
            </w:tcBorders>
            <w:shd w:val="clear" w:color="auto" w:fill="auto"/>
            <w:noWrap/>
            <w:hideMark/>
          </w:tcPr>
          <w:p w14:paraId="55E97CCC" w14:textId="21DA03D1" w:rsidR="007C756E" w:rsidRPr="0057086A" w:rsidRDefault="007C756E" w:rsidP="007C756E">
            <w:pPr>
              <w:spacing w:line="240" w:lineRule="auto"/>
              <w:jc w:val="right"/>
              <w:rPr>
                <w:rFonts w:eastAsia="Times New Roman" w:cs="Arial"/>
                <w:color w:val="FF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30" w:type="pct"/>
            <w:tcBorders>
              <w:top w:val="nil"/>
              <w:left w:val="nil"/>
              <w:bottom w:val="single" w:sz="8" w:space="0" w:color="auto"/>
              <w:right w:val="single" w:sz="4" w:space="0" w:color="auto"/>
            </w:tcBorders>
            <w:shd w:val="clear" w:color="auto" w:fill="auto"/>
            <w:noWrap/>
            <w:hideMark/>
          </w:tcPr>
          <w:p w14:paraId="796581FC" w14:textId="7530BCBE"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30" w:type="pct"/>
            <w:tcBorders>
              <w:top w:val="nil"/>
              <w:left w:val="nil"/>
              <w:bottom w:val="single" w:sz="8" w:space="0" w:color="auto"/>
              <w:right w:val="single" w:sz="4" w:space="0" w:color="auto"/>
            </w:tcBorders>
            <w:shd w:val="clear" w:color="auto" w:fill="auto"/>
            <w:noWrap/>
            <w:hideMark/>
          </w:tcPr>
          <w:p w14:paraId="4638A59F" w14:textId="09297E98"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c>
          <w:tcPr>
            <w:tcW w:w="419" w:type="pct"/>
            <w:tcBorders>
              <w:top w:val="nil"/>
              <w:left w:val="nil"/>
              <w:bottom w:val="single" w:sz="8" w:space="0" w:color="auto"/>
              <w:right w:val="single" w:sz="4" w:space="0" w:color="auto"/>
            </w:tcBorders>
            <w:shd w:val="clear" w:color="auto" w:fill="auto"/>
            <w:noWrap/>
            <w:hideMark/>
          </w:tcPr>
          <w:p w14:paraId="06368F05" w14:textId="534293FB"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851AED">
              <w:rPr>
                <w:rFonts w:cs="Arial"/>
                <w:color w:val="000000"/>
                <w:sz w:val="16"/>
                <w:szCs w:val="16"/>
                <w:lang w:val="en-US"/>
              </w:rPr>
              <w:t>x,xx</w:t>
            </w:r>
            <w:proofErr w:type="spellEnd"/>
            <w:proofErr w:type="gramEnd"/>
          </w:p>
        </w:tc>
      </w:tr>
      <w:tr w:rsidR="007C756E" w:rsidRPr="0057086A" w14:paraId="19F3FDB2" w14:textId="77777777" w:rsidTr="000B7DD6">
        <w:trPr>
          <w:trHeight w:val="255"/>
        </w:trPr>
        <w:tc>
          <w:tcPr>
            <w:tcW w:w="775"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477EBC88"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ОЦ питейна вода</w:t>
            </w:r>
          </w:p>
        </w:tc>
        <w:tc>
          <w:tcPr>
            <w:tcW w:w="759" w:type="pct"/>
            <w:tcBorders>
              <w:top w:val="nil"/>
              <w:left w:val="nil"/>
              <w:bottom w:val="single" w:sz="4" w:space="0" w:color="auto"/>
              <w:right w:val="single" w:sz="4" w:space="0" w:color="auto"/>
            </w:tcBorders>
            <w:shd w:val="clear" w:color="auto" w:fill="auto"/>
            <w:noWrap/>
            <w:vAlign w:val="bottom"/>
            <w:hideMark/>
          </w:tcPr>
          <w:p w14:paraId="64137A81"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70" w:type="pct"/>
            <w:tcBorders>
              <w:top w:val="nil"/>
              <w:left w:val="nil"/>
              <w:bottom w:val="single" w:sz="4" w:space="0" w:color="auto"/>
              <w:right w:val="single" w:sz="4" w:space="0" w:color="auto"/>
            </w:tcBorders>
            <w:shd w:val="clear" w:color="auto" w:fill="auto"/>
            <w:noWrap/>
            <w:vAlign w:val="bottom"/>
            <w:hideMark/>
          </w:tcPr>
          <w:p w14:paraId="5A4FA38B"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3C41EEED" w14:textId="2A01E07D" w:rsidR="007C756E" w:rsidRPr="007C756E" w:rsidRDefault="007C756E" w:rsidP="007C756E">
            <w:pPr>
              <w:spacing w:line="240" w:lineRule="auto"/>
              <w:jc w:val="right"/>
              <w:rPr>
                <w:rFonts w:eastAsia="Times New Roman" w:cs="Arial"/>
                <w:b/>
                <w:bCs/>
                <w:spacing w:val="0"/>
                <w:sz w:val="16"/>
                <w:szCs w:val="16"/>
                <w:lang w:val="en-US" w:eastAsia="en-US"/>
              </w:rPr>
            </w:pPr>
            <w:r w:rsidRPr="00D62256">
              <w:rPr>
                <w:rFonts w:cs="Arial"/>
                <w:b/>
                <w:bCs/>
                <w:color w:val="000000"/>
                <w:sz w:val="16"/>
                <w:szCs w:val="16"/>
                <w:lang w:val="en-US"/>
              </w:rPr>
              <w:t>xx</w:t>
            </w:r>
          </w:p>
        </w:tc>
        <w:tc>
          <w:tcPr>
            <w:tcW w:w="429" w:type="pct"/>
            <w:tcBorders>
              <w:top w:val="nil"/>
              <w:left w:val="nil"/>
              <w:bottom w:val="single" w:sz="4" w:space="0" w:color="auto"/>
              <w:right w:val="single" w:sz="4" w:space="0" w:color="auto"/>
            </w:tcBorders>
            <w:shd w:val="clear" w:color="auto" w:fill="auto"/>
            <w:noWrap/>
            <w:hideMark/>
          </w:tcPr>
          <w:p w14:paraId="4877D55C" w14:textId="210566C4" w:rsidR="007C756E" w:rsidRPr="0057086A" w:rsidRDefault="007C756E" w:rsidP="007C756E">
            <w:pPr>
              <w:spacing w:line="240" w:lineRule="auto"/>
              <w:jc w:val="right"/>
              <w:rPr>
                <w:rFonts w:eastAsia="Times New Roman" w:cs="Arial"/>
                <w:b/>
                <w:bCs/>
                <w:spacing w:val="0"/>
                <w:sz w:val="16"/>
                <w:szCs w:val="16"/>
                <w:lang w:eastAsia="en-US"/>
              </w:rPr>
            </w:pPr>
            <w:r w:rsidRPr="00D62256">
              <w:rPr>
                <w:rFonts w:cs="Arial"/>
                <w:b/>
                <w:bCs/>
                <w:color w:val="000000"/>
                <w:sz w:val="16"/>
                <w:szCs w:val="16"/>
                <w:lang w:val="en-US"/>
              </w:rPr>
              <w:t>xx</w:t>
            </w:r>
          </w:p>
        </w:tc>
        <w:tc>
          <w:tcPr>
            <w:tcW w:w="429" w:type="pct"/>
            <w:tcBorders>
              <w:top w:val="nil"/>
              <w:left w:val="nil"/>
              <w:bottom w:val="single" w:sz="4" w:space="0" w:color="auto"/>
              <w:right w:val="single" w:sz="4" w:space="0" w:color="auto"/>
            </w:tcBorders>
            <w:shd w:val="clear" w:color="auto" w:fill="auto"/>
            <w:noWrap/>
            <w:hideMark/>
          </w:tcPr>
          <w:p w14:paraId="38410D67" w14:textId="3B5328A2" w:rsidR="007C756E" w:rsidRPr="0057086A" w:rsidRDefault="007C756E" w:rsidP="007C756E">
            <w:pPr>
              <w:spacing w:line="240" w:lineRule="auto"/>
              <w:jc w:val="right"/>
              <w:rPr>
                <w:rFonts w:eastAsia="Times New Roman" w:cs="Arial"/>
                <w:b/>
                <w:bCs/>
                <w:spacing w:val="0"/>
                <w:sz w:val="16"/>
                <w:szCs w:val="16"/>
                <w:lang w:eastAsia="en-US"/>
              </w:rPr>
            </w:pPr>
            <w:r w:rsidRPr="00D62256">
              <w:rPr>
                <w:rFonts w:cs="Arial"/>
                <w:b/>
                <w:bCs/>
                <w:color w:val="000000"/>
                <w:sz w:val="16"/>
                <w:szCs w:val="16"/>
                <w:lang w:val="en-US"/>
              </w:rPr>
              <w:t>xx</w:t>
            </w:r>
          </w:p>
        </w:tc>
        <w:tc>
          <w:tcPr>
            <w:tcW w:w="430" w:type="pct"/>
            <w:tcBorders>
              <w:top w:val="nil"/>
              <w:left w:val="nil"/>
              <w:bottom w:val="single" w:sz="4" w:space="0" w:color="auto"/>
              <w:right w:val="single" w:sz="4" w:space="0" w:color="auto"/>
            </w:tcBorders>
            <w:shd w:val="clear" w:color="auto" w:fill="auto"/>
            <w:noWrap/>
            <w:hideMark/>
          </w:tcPr>
          <w:p w14:paraId="32AC003C" w14:textId="4BCEB91E" w:rsidR="007C756E" w:rsidRPr="0057086A" w:rsidRDefault="007C756E" w:rsidP="007C756E">
            <w:pPr>
              <w:spacing w:line="240" w:lineRule="auto"/>
              <w:jc w:val="right"/>
              <w:rPr>
                <w:rFonts w:eastAsia="Times New Roman" w:cs="Arial"/>
                <w:b/>
                <w:bCs/>
                <w:spacing w:val="0"/>
                <w:sz w:val="16"/>
                <w:szCs w:val="16"/>
                <w:lang w:eastAsia="en-US"/>
              </w:rPr>
            </w:pPr>
            <w:r w:rsidRPr="00D62256">
              <w:rPr>
                <w:rFonts w:cs="Arial"/>
                <w:b/>
                <w:bCs/>
                <w:color w:val="000000"/>
                <w:sz w:val="16"/>
                <w:szCs w:val="16"/>
                <w:lang w:val="en-US"/>
              </w:rPr>
              <w:t>xx</w:t>
            </w:r>
          </w:p>
        </w:tc>
        <w:tc>
          <w:tcPr>
            <w:tcW w:w="430" w:type="pct"/>
            <w:tcBorders>
              <w:top w:val="nil"/>
              <w:left w:val="nil"/>
              <w:bottom w:val="single" w:sz="4" w:space="0" w:color="auto"/>
              <w:right w:val="single" w:sz="4" w:space="0" w:color="auto"/>
            </w:tcBorders>
            <w:shd w:val="clear" w:color="auto" w:fill="auto"/>
            <w:noWrap/>
            <w:hideMark/>
          </w:tcPr>
          <w:p w14:paraId="0B91D325" w14:textId="301C7831" w:rsidR="007C756E" w:rsidRPr="0057086A" w:rsidRDefault="007C756E" w:rsidP="007C756E">
            <w:pPr>
              <w:spacing w:line="240" w:lineRule="auto"/>
              <w:jc w:val="right"/>
              <w:rPr>
                <w:rFonts w:eastAsia="Times New Roman" w:cs="Arial"/>
                <w:b/>
                <w:bCs/>
                <w:spacing w:val="0"/>
                <w:sz w:val="16"/>
                <w:szCs w:val="16"/>
                <w:lang w:eastAsia="en-US"/>
              </w:rPr>
            </w:pPr>
            <w:r w:rsidRPr="00D62256">
              <w:rPr>
                <w:rFonts w:cs="Arial"/>
                <w:b/>
                <w:bCs/>
                <w:color w:val="000000"/>
                <w:sz w:val="16"/>
                <w:szCs w:val="16"/>
                <w:lang w:val="en-US"/>
              </w:rPr>
              <w:t>xx</w:t>
            </w:r>
          </w:p>
        </w:tc>
        <w:tc>
          <w:tcPr>
            <w:tcW w:w="430" w:type="pct"/>
            <w:tcBorders>
              <w:top w:val="nil"/>
              <w:left w:val="nil"/>
              <w:bottom w:val="single" w:sz="4" w:space="0" w:color="auto"/>
              <w:right w:val="single" w:sz="4" w:space="0" w:color="auto"/>
            </w:tcBorders>
            <w:shd w:val="clear" w:color="auto" w:fill="auto"/>
            <w:noWrap/>
            <w:hideMark/>
          </w:tcPr>
          <w:p w14:paraId="745DE1A5" w14:textId="41A561EB" w:rsidR="007C756E" w:rsidRPr="0057086A" w:rsidRDefault="007C756E" w:rsidP="007C756E">
            <w:pPr>
              <w:spacing w:line="240" w:lineRule="auto"/>
              <w:jc w:val="right"/>
              <w:rPr>
                <w:rFonts w:eastAsia="Times New Roman" w:cs="Arial"/>
                <w:b/>
                <w:bCs/>
                <w:spacing w:val="0"/>
                <w:sz w:val="16"/>
                <w:szCs w:val="16"/>
                <w:lang w:eastAsia="en-US"/>
              </w:rPr>
            </w:pPr>
            <w:r w:rsidRPr="00D62256">
              <w:rPr>
                <w:rFonts w:cs="Arial"/>
                <w:b/>
                <w:bCs/>
                <w:color w:val="000000"/>
                <w:sz w:val="16"/>
                <w:szCs w:val="16"/>
                <w:lang w:val="en-US"/>
              </w:rPr>
              <w:t>xx</w:t>
            </w:r>
          </w:p>
        </w:tc>
        <w:tc>
          <w:tcPr>
            <w:tcW w:w="419" w:type="pct"/>
            <w:tcBorders>
              <w:top w:val="nil"/>
              <w:left w:val="nil"/>
              <w:bottom w:val="single" w:sz="4" w:space="0" w:color="auto"/>
              <w:right w:val="single" w:sz="4" w:space="0" w:color="auto"/>
            </w:tcBorders>
            <w:shd w:val="clear" w:color="auto" w:fill="auto"/>
            <w:noWrap/>
            <w:hideMark/>
          </w:tcPr>
          <w:p w14:paraId="50A6616A" w14:textId="1E7EF6B3" w:rsidR="007C756E" w:rsidRPr="0057086A" w:rsidRDefault="007C756E" w:rsidP="007C756E">
            <w:pPr>
              <w:spacing w:line="240" w:lineRule="auto"/>
              <w:jc w:val="right"/>
              <w:rPr>
                <w:rFonts w:eastAsia="Times New Roman" w:cs="Arial"/>
                <w:b/>
                <w:bCs/>
                <w:spacing w:val="0"/>
                <w:sz w:val="16"/>
                <w:szCs w:val="16"/>
                <w:lang w:eastAsia="en-US"/>
              </w:rPr>
            </w:pPr>
            <w:r w:rsidRPr="00D62256">
              <w:rPr>
                <w:rFonts w:cs="Arial"/>
                <w:b/>
                <w:bCs/>
                <w:color w:val="000000"/>
                <w:sz w:val="16"/>
                <w:szCs w:val="16"/>
                <w:lang w:val="en-US"/>
              </w:rPr>
              <w:t>xx</w:t>
            </w:r>
          </w:p>
        </w:tc>
      </w:tr>
      <w:tr w:rsidR="007C756E" w:rsidRPr="0057086A" w14:paraId="7BBED49D" w14:textId="77777777" w:rsidTr="005C483C">
        <w:trPr>
          <w:trHeight w:val="255"/>
        </w:trPr>
        <w:tc>
          <w:tcPr>
            <w:tcW w:w="775" w:type="pct"/>
            <w:vMerge/>
            <w:tcBorders>
              <w:top w:val="nil"/>
              <w:left w:val="single" w:sz="8" w:space="0" w:color="auto"/>
              <w:bottom w:val="single" w:sz="8" w:space="0" w:color="000000"/>
              <w:right w:val="single" w:sz="4" w:space="0" w:color="auto"/>
            </w:tcBorders>
            <w:vAlign w:val="center"/>
            <w:hideMark/>
          </w:tcPr>
          <w:p w14:paraId="40585581"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17D5066A"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70" w:type="pct"/>
            <w:tcBorders>
              <w:top w:val="nil"/>
              <w:left w:val="nil"/>
              <w:bottom w:val="single" w:sz="4" w:space="0" w:color="auto"/>
              <w:right w:val="single" w:sz="4" w:space="0" w:color="auto"/>
            </w:tcBorders>
            <w:shd w:val="clear" w:color="auto" w:fill="auto"/>
            <w:noWrap/>
            <w:vAlign w:val="bottom"/>
            <w:hideMark/>
          </w:tcPr>
          <w:p w14:paraId="6263CE19"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29E67AC3" w14:textId="01DA0A44"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0A0050FA" w14:textId="09423229"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492F3AE5" w14:textId="7D37FF96"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33F3463F" w14:textId="7D88EAAD"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16DABDAD" w14:textId="3B2478FC"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60AB40B4" w14:textId="1D904D24"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19" w:type="pct"/>
            <w:tcBorders>
              <w:top w:val="nil"/>
              <w:left w:val="nil"/>
              <w:bottom w:val="single" w:sz="4" w:space="0" w:color="auto"/>
              <w:right w:val="single" w:sz="4" w:space="0" w:color="auto"/>
            </w:tcBorders>
            <w:shd w:val="clear" w:color="auto" w:fill="auto"/>
            <w:noWrap/>
            <w:hideMark/>
          </w:tcPr>
          <w:p w14:paraId="24DE35B3" w14:textId="4A1590B4"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r>
      <w:tr w:rsidR="007C756E" w:rsidRPr="0057086A" w14:paraId="5B684EFE" w14:textId="77777777" w:rsidTr="005C483C">
        <w:trPr>
          <w:trHeight w:val="255"/>
        </w:trPr>
        <w:tc>
          <w:tcPr>
            <w:tcW w:w="775" w:type="pct"/>
            <w:vMerge/>
            <w:tcBorders>
              <w:top w:val="nil"/>
              <w:left w:val="single" w:sz="8" w:space="0" w:color="auto"/>
              <w:bottom w:val="single" w:sz="8" w:space="0" w:color="000000"/>
              <w:right w:val="single" w:sz="4" w:space="0" w:color="auto"/>
            </w:tcBorders>
            <w:vAlign w:val="center"/>
            <w:hideMark/>
          </w:tcPr>
          <w:p w14:paraId="62EF7AE7"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184AD11A"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70" w:type="pct"/>
            <w:tcBorders>
              <w:top w:val="nil"/>
              <w:left w:val="nil"/>
              <w:bottom w:val="single" w:sz="4" w:space="0" w:color="auto"/>
              <w:right w:val="single" w:sz="4" w:space="0" w:color="auto"/>
            </w:tcBorders>
            <w:shd w:val="clear" w:color="auto" w:fill="auto"/>
            <w:noWrap/>
            <w:vAlign w:val="bottom"/>
            <w:hideMark/>
          </w:tcPr>
          <w:p w14:paraId="09449C7A"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2833B97B" w14:textId="3D1AF583"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635F7042" w14:textId="2DBEB58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5F62863E" w14:textId="2546FD1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61C4D270" w14:textId="78105528"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56C9EB54" w14:textId="65711857"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1B55CAC9" w14:textId="572FEF4B"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19" w:type="pct"/>
            <w:tcBorders>
              <w:top w:val="nil"/>
              <w:left w:val="nil"/>
              <w:bottom w:val="single" w:sz="4" w:space="0" w:color="auto"/>
              <w:right w:val="single" w:sz="4" w:space="0" w:color="auto"/>
            </w:tcBorders>
            <w:shd w:val="clear" w:color="auto" w:fill="auto"/>
            <w:noWrap/>
            <w:hideMark/>
          </w:tcPr>
          <w:p w14:paraId="45514F9F" w14:textId="67BE845F"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r>
      <w:tr w:rsidR="007C756E" w:rsidRPr="0057086A" w14:paraId="05694C54" w14:textId="77777777" w:rsidTr="005C483C">
        <w:trPr>
          <w:trHeight w:val="270"/>
        </w:trPr>
        <w:tc>
          <w:tcPr>
            <w:tcW w:w="775" w:type="pct"/>
            <w:vMerge/>
            <w:tcBorders>
              <w:top w:val="nil"/>
              <w:left w:val="single" w:sz="8" w:space="0" w:color="auto"/>
              <w:bottom w:val="single" w:sz="8" w:space="0" w:color="000000"/>
              <w:right w:val="single" w:sz="4" w:space="0" w:color="auto"/>
            </w:tcBorders>
            <w:vAlign w:val="center"/>
            <w:hideMark/>
          </w:tcPr>
          <w:p w14:paraId="4BAB4402"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59" w:type="pct"/>
            <w:tcBorders>
              <w:top w:val="nil"/>
              <w:left w:val="nil"/>
              <w:bottom w:val="single" w:sz="8" w:space="0" w:color="auto"/>
              <w:right w:val="single" w:sz="4" w:space="0" w:color="auto"/>
            </w:tcBorders>
            <w:shd w:val="clear" w:color="auto" w:fill="auto"/>
            <w:noWrap/>
            <w:vAlign w:val="bottom"/>
            <w:hideMark/>
          </w:tcPr>
          <w:p w14:paraId="045CE37C"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70" w:type="pct"/>
            <w:tcBorders>
              <w:top w:val="nil"/>
              <w:left w:val="nil"/>
              <w:bottom w:val="single" w:sz="8" w:space="0" w:color="auto"/>
              <w:right w:val="single" w:sz="4" w:space="0" w:color="auto"/>
            </w:tcBorders>
            <w:shd w:val="clear" w:color="auto" w:fill="auto"/>
            <w:noWrap/>
            <w:vAlign w:val="bottom"/>
            <w:hideMark/>
          </w:tcPr>
          <w:p w14:paraId="7A8FCEF4"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8" w:space="0" w:color="auto"/>
              <w:right w:val="single" w:sz="4" w:space="0" w:color="auto"/>
            </w:tcBorders>
            <w:shd w:val="clear" w:color="auto" w:fill="auto"/>
            <w:noWrap/>
            <w:hideMark/>
          </w:tcPr>
          <w:p w14:paraId="7A036EB5" w14:textId="75904A1C"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29" w:type="pct"/>
            <w:tcBorders>
              <w:top w:val="nil"/>
              <w:left w:val="nil"/>
              <w:bottom w:val="single" w:sz="8" w:space="0" w:color="auto"/>
              <w:right w:val="single" w:sz="4" w:space="0" w:color="auto"/>
            </w:tcBorders>
            <w:shd w:val="clear" w:color="auto" w:fill="auto"/>
            <w:noWrap/>
            <w:hideMark/>
          </w:tcPr>
          <w:p w14:paraId="70BB108F" w14:textId="7E573A9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29" w:type="pct"/>
            <w:tcBorders>
              <w:top w:val="nil"/>
              <w:left w:val="nil"/>
              <w:bottom w:val="single" w:sz="8" w:space="0" w:color="auto"/>
              <w:right w:val="single" w:sz="4" w:space="0" w:color="auto"/>
            </w:tcBorders>
            <w:shd w:val="clear" w:color="auto" w:fill="auto"/>
            <w:noWrap/>
            <w:hideMark/>
          </w:tcPr>
          <w:p w14:paraId="53773310" w14:textId="26DF5A3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30" w:type="pct"/>
            <w:tcBorders>
              <w:top w:val="nil"/>
              <w:left w:val="nil"/>
              <w:bottom w:val="single" w:sz="8" w:space="0" w:color="auto"/>
              <w:right w:val="single" w:sz="4" w:space="0" w:color="auto"/>
            </w:tcBorders>
            <w:shd w:val="clear" w:color="auto" w:fill="auto"/>
            <w:noWrap/>
            <w:hideMark/>
          </w:tcPr>
          <w:p w14:paraId="1EEEC30F" w14:textId="010F245B"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30" w:type="pct"/>
            <w:tcBorders>
              <w:top w:val="nil"/>
              <w:left w:val="nil"/>
              <w:bottom w:val="single" w:sz="8" w:space="0" w:color="auto"/>
              <w:right w:val="single" w:sz="4" w:space="0" w:color="auto"/>
            </w:tcBorders>
            <w:shd w:val="clear" w:color="auto" w:fill="auto"/>
            <w:noWrap/>
            <w:hideMark/>
          </w:tcPr>
          <w:p w14:paraId="48BDCC8C" w14:textId="5A56238C"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30" w:type="pct"/>
            <w:tcBorders>
              <w:top w:val="nil"/>
              <w:left w:val="nil"/>
              <w:bottom w:val="single" w:sz="8" w:space="0" w:color="auto"/>
              <w:right w:val="single" w:sz="4" w:space="0" w:color="auto"/>
            </w:tcBorders>
            <w:shd w:val="clear" w:color="auto" w:fill="auto"/>
            <w:noWrap/>
            <w:hideMark/>
          </w:tcPr>
          <w:p w14:paraId="345CF63E" w14:textId="313BA98D"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c>
          <w:tcPr>
            <w:tcW w:w="419" w:type="pct"/>
            <w:tcBorders>
              <w:top w:val="nil"/>
              <w:left w:val="nil"/>
              <w:bottom w:val="single" w:sz="8" w:space="0" w:color="auto"/>
              <w:right w:val="single" w:sz="4" w:space="0" w:color="auto"/>
            </w:tcBorders>
            <w:shd w:val="clear" w:color="auto" w:fill="auto"/>
            <w:noWrap/>
            <w:hideMark/>
          </w:tcPr>
          <w:p w14:paraId="6D5F8B20" w14:textId="144FAD10"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F32E76">
              <w:rPr>
                <w:rFonts w:cs="Arial"/>
                <w:color w:val="000000"/>
                <w:sz w:val="16"/>
                <w:szCs w:val="16"/>
                <w:lang w:val="en-US"/>
              </w:rPr>
              <w:t>x,xx</w:t>
            </w:r>
            <w:proofErr w:type="spellEnd"/>
            <w:proofErr w:type="gramEnd"/>
          </w:p>
        </w:tc>
      </w:tr>
      <w:tr w:rsidR="003C486B" w:rsidRPr="0057086A" w14:paraId="1D33E216" w14:textId="77777777" w:rsidTr="003C486B">
        <w:trPr>
          <w:trHeight w:val="255"/>
        </w:trPr>
        <w:tc>
          <w:tcPr>
            <w:tcW w:w="775"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3A1F62D" w14:textId="77777777" w:rsidR="003C486B" w:rsidRPr="0057086A" w:rsidRDefault="003C486B" w:rsidP="003C486B">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ТЕЦ инкасатори</w:t>
            </w:r>
          </w:p>
        </w:tc>
        <w:tc>
          <w:tcPr>
            <w:tcW w:w="759" w:type="pct"/>
            <w:tcBorders>
              <w:top w:val="nil"/>
              <w:left w:val="nil"/>
              <w:bottom w:val="single" w:sz="4" w:space="0" w:color="auto"/>
              <w:right w:val="single" w:sz="4" w:space="0" w:color="auto"/>
            </w:tcBorders>
            <w:shd w:val="clear" w:color="auto" w:fill="auto"/>
            <w:noWrap/>
            <w:vAlign w:val="bottom"/>
            <w:hideMark/>
          </w:tcPr>
          <w:p w14:paraId="676DF702" w14:textId="77777777" w:rsidR="003C486B" w:rsidRPr="0057086A" w:rsidRDefault="003C486B" w:rsidP="003C486B">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70" w:type="pct"/>
            <w:tcBorders>
              <w:top w:val="nil"/>
              <w:left w:val="nil"/>
              <w:bottom w:val="single" w:sz="4" w:space="0" w:color="auto"/>
              <w:right w:val="single" w:sz="4" w:space="0" w:color="auto"/>
            </w:tcBorders>
            <w:shd w:val="clear" w:color="auto" w:fill="auto"/>
            <w:noWrap/>
            <w:vAlign w:val="bottom"/>
            <w:hideMark/>
          </w:tcPr>
          <w:p w14:paraId="00A9FFB1" w14:textId="77777777" w:rsidR="003C486B" w:rsidRPr="0057086A" w:rsidRDefault="003C486B" w:rsidP="003C486B">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vAlign w:val="bottom"/>
            <w:hideMark/>
          </w:tcPr>
          <w:p w14:paraId="14C2D55D" w14:textId="1301B0C3" w:rsidR="003C486B" w:rsidRPr="007C756E" w:rsidRDefault="007C756E" w:rsidP="003C486B">
            <w:pPr>
              <w:spacing w:line="240" w:lineRule="auto"/>
              <w:jc w:val="right"/>
              <w:rPr>
                <w:rFonts w:eastAsia="Times New Roman" w:cs="Arial"/>
                <w:b/>
                <w:bCs/>
                <w:color w:val="000000"/>
                <w:spacing w:val="0"/>
                <w:sz w:val="16"/>
                <w:szCs w:val="16"/>
                <w:lang w:val="en-US" w:eastAsia="en-US"/>
              </w:rPr>
            </w:pPr>
            <w:r>
              <w:rPr>
                <w:rFonts w:eastAsia="Times New Roman" w:cs="Arial"/>
                <w:b/>
                <w:bCs/>
                <w:color w:val="000000"/>
                <w:sz w:val="16"/>
                <w:szCs w:val="16"/>
                <w:lang w:val="en-US"/>
              </w:rPr>
              <w:t>x</w:t>
            </w:r>
          </w:p>
        </w:tc>
        <w:tc>
          <w:tcPr>
            <w:tcW w:w="429" w:type="pct"/>
            <w:tcBorders>
              <w:top w:val="nil"/>
              <w:left w:val="nil"/>
              <w:bottom w:val="single" w:sz="4" w:space="0" w:color="auto"/>
              <w:right w:val="nil"/>
            </w:tcBorders>
            <w:shd w:val="clear" w:color="auto" w:fill="auto"/>
            <w:noWrap/>
            <w:vAlign w:val="bottom"/>
            <w:hideMark/>
          </w:tcPr>
          <w:p w14:paraId="117FFCC6" w14:textId="31A3F2CD" w:rsidR="003C486B" w:rsidRPr="007C756E" w:rsidRDefault="007C756E" w:rsidP="003C486B">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29" w:type="pct"/>
            <w:tcBorders>
              <w:top w:val="nil"/>
              <w:left w:val="single" w:sz="4" w:space="0" w:color="auto"/>
              <w:bottom w:val="single" w:sz="4" w:space="0" w:color="auto"/>
              <w:right w:val="nil"/>
            </w:tcBorders>
            <w:shd w:val="clear" w:color="auto" w:fill="auto"/>
            <w:noWrap/>
            <w:vAlign w:val="bottom"/>
            <w:hideMark/>
          </w:tcPr>
          <w:p w14:paraId="7610E871" w14:textId="0049F9C7" w:rsidR="003C486B" w:rsidRPr="007C756E" w:rsidRDefault="007C756E" w:rsidP="003C486B">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30" w:type="pct"/>
            <w:tcBorders>
              <w:top w:val="nil"/>
              <w:left w:val="single" w:sz="4" w:space="0" w:color="auto"/>
              <w:bottom w:val="single" w:sz="4" w:space="0" w:color="auto"/>
              <w:right w:val="single" w:sz="4" w:space="0" w:color="auto"/>
            </w:tcBorders>
            <w:shd w:val="clear" w:color="auto" w:fill="auto"/>
            <w:noWrap/>
            <w:vAlign w:val="bottom"/>
            <w:hideMark/>
          </w:tcPr>
          <w:p w14:paraId="01B23B91" w14:textId="65F6B83D" w:rsidR="003C486B" w:rsidRPr="007C756E" w:rsidRDefault="007C756E" w:rsidP="003C486B">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30" w:type="pct"/>
            <w:tcBorders>
              <w:top w:val="nil"/>
              <w:left w:val="nil"/>
              <w:bottom w:val="single" w:sz="4" w:space="0" w:color="auto"/>
              <w:right w:val="single" w:sz="4" w:space="0" w:color="auto"/>
            </w:tcBorders>
            <w:shd w:val="clear" w:color="auto" w:fill="auto"/>
            <w:noWrap/>
            <w:vAlign w:val="bottom"/>
            <w:hideMark/>
          </w:tcPr>
          <w:p w14:paraId="2DA3D2F6" w14:textId="37099919" w:rsidR="003C486B" w:rsidRPr="007C756E" w:rsidRDefault="007C756E" w:rsidP="003C486B">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30" w:type="pct"/>
            <w:tcBorders>
              <w:top w:val="nil"/>
              <w:left w:val="nil"/>
              <w:bottom w:val="single" w:sz="4" w:space="0" w:color="auto"/>
              <w:right w:val="single" w:sz="4" w:space="0" w:color="auto"/>
            </w:tcBorders>
            <w:shd w:val="clear" w:color="auto" w:fill="auto"/>
            <w:noWrap/>
            <w:vAlign w:val="bottom"/>
            <w:hideMark/>
          </w:tcPr>
          <w:p w14:paraId="00E1046F" w14:textId="584B9F2B" w:rsidR="003C486B" w:rsidRPr="007C756E" w:rsidRDefault="007C756E" w:rsidP="003C486B">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19" w:type="pct"/>
            <w:tcBorders>
              <w:top w:val="nil"/>
              <w:left w:val="nil"/>
              <w:bottom w:val="single" w:sz="4" w:space="0" w:color="auto"/>
              <w:right w:val="single" w:sz="4" w:space="0" w:color="auto"/>
            </w:tcBorders>
            <w:shd w:val="clear" w:color="auto" w:fill="auto"/>
            <w:noWrap/>
            <w:vAlign w:val="bottom"/>
            <w:hideMark/>
          </w:tcPr>
          <w:p w14:paraId="5373D15E" w14:textId="166A5D87" w:rsidR="003C486B" w:rsidRPr="007C756E" w:rsidRDefault="007C756E" w:rsidP="003C486B">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r>
      <w:tr w:rsidR="007C756E" w:rsidRPr="0057086A" w14:paraId="6205866E" w14:textId="77777777" w:rsidTr="00D05337">
        <w:trPr>
          <w:trHeight w:val="255"/>
        </w:trPr>
        <w:tc>
          <w:tcPr>
            <w:tcW w:w="775" w:type="pct"/>
            <w:vMerge/>
            <w:tcBorders>
              <w:top w:val="nil"/>
              <w:left w:val="single" w:sz="8" w:space="0" w:color="auto"/>
              <w:bottom w:val="single" w:sz="8" w:space="0" w:color="000000"/>
              <w:right w:val="single" w:sz="4" w:space="0" w:color="auto"/>
            </w:tcBorders>
            <w:vAlign w:val="center"/>
            <w:hideMark/>
          </w:tcPr>
          <w:p w14:paraId="6A752A40" w14:textId="77777777" w:rsidR="007C756E" w:rsidRPr="0057086A" w:rsidRDefault="007C756E" w:rsidP="003C486B">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2BE2C54C" w14:textId="77777777" w:rsidR="007C756E" w:rsidRPr="0057086A" w:rsidRDefault="007C756E" w:rsidP="003C486B">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70" w:type="pct"/>
            <w:tcBorders>
              <w:top w:val="nil"/>
              <w:left w:val="nil"/>
              <w:bottom w:val="single" w:sz="4" w:space="0" w:color="auto"/>
              <w:right w:val="single" w:sz="4" w:space="0" w:color="auto"/>
            </w:tcBorders>
            <w:shd w:val="clear" w:color="auto" w:fill="auto"/>
            <w:noWrap/>
            <w:vAlign w:val="bottom"/>
            <w:hideMark/>
          </w:tcPr>
          <w:p w14:paraId="35B7CB9A" w14:textId="77777777" w:rsidR="007C756E" w:rsidRPr="0057086A" w:rsidRDefault="007C756E" w:rsidP="003C486B">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670AA85D" w14:textId="26B4253A"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1EE9D453" w14:textId="555FE5B1"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0B833425" w14:textId="4808C4A0"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43742790" w14:textId="6247442E"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5A1E9B06" w14:textId="6F791E47"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632E1B9B" w14:textId="4B6823C3"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19" w:type="pct"/>
            <w:tcBorders>
              <w:top w:val="nil"/>
              <w:left w:val="nil"/>
              <w:bottom w:val="single" w:sz="4" w:space="0" w:color="auto"/>
              <w:right w:val="single" w:sz="4" w:space="0" w:color="auto"/>
            </w:tcBorders>
            <w:shd w:val="clear" w:color="auto" w:fill="auto"/>
            <w:noWrap/>
            <w:hideMark/>
          </w:tcPr>
          <w:p w14:paraId="7AE5EEC2" w14:textId="49A580B2"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r>
      <w:tr w:rsidR="007C756E" w:rsidRPr="0057086A" w14:paraId="5343704C" w14:textId="77777777" w:rsidTr="00D05337">
        <w:trPr>
          <w:trHeight w:val="255"/>
        </w:trPr>
        <w:tc>
          <w:tcPr>
            <w:tcW w:w="775" w:type="pct"/>
            <w:vMerge/>
            <w:tcBorders>
              <w:top w:val="nil"/>
              <w:left w:val="single" w:sz="8" w:space="0" w:color="auto"/>
              <w:bottom w:val="single" w:sz="8" w:space="0" w:color="000000"/>
              <w:right w:val="single" w:sz="4" w:space="0" w:color="auto"/>
            </w:tcBorders>
            <w:vAlign w:val="center"/>
            <w:hideMark/>
          </w:tcPr>
          <w:p w14:paraId="090310D7" w14:textId="77777777" w:rsidR="007C756E" w:rsidRPr="0057086A" w:rsidRDefault="007C756E" w:rsidP="003C486B">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55A9CAA4" w14:textId="77777777" w:rsidR="007C756E" w:rsidRPr="0057086A" w:rsidRDefault="007C756E" w:rsidP="003C486B">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70" w:type="pct"/>
            <w:tcBorders>
              <w:top w:val="nil"/>
              <w:left w:val="nil"/>
              <w:bottom w:val="single" w:sz="4" w:space="0" w:color="auto"/>
              <w:right w:val="single" w:sz="4" w:space="0" w:color="auto"/>
            </w:tcBorders>
            <w:shd w:val="clear" w:color="auto" w:fill="auto"/>
            <w:noWrap/>
            <w:vAlign w:val="bottom"/>
            <w:hideMark/>
          </w:tcPr>
          <w:p w14:paraId="6DCFDACE" w14:textId="77777777" w:rsidR="007C756E" w:rsidRPr="0057086A" w:rsidRDefault="007C756E" w:rsidP="003C486B">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5A09F9E2" w14:textId="1D55E3F7"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4BC4466A" w14:textId="0334ED06"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29" w:type="pct"/>
            <w:tcBorders>
              <w:top w:val="nil"/>
              <w:left w:val="nil"/>
              <w:bottom w:val="single" w:sz="4" w:space="0" w:color="auto"/>
              <w:right w:val="single" w:sz="4" w:space="0" w:color="auto"/>
            </w:tcBorders>
            <w:shd w:val="clear" w:color="auto" w:fill="auto"/>
            <w:noWrap/>
            <w:hideMark/>
          </w:tcPr>
          <w:p w14:paraId="43CE3F40" w14:textId="33045A32"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5A5D65EC" w14:textId="65B279F9"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4C1BE93F" w14:textId="44967749"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30" w:type="pct"/>
            <w:tcBorders>
              <w:top w:val="nil"/>
              <w:left w:val="nil"/>
              <w:bottom w:val="single" w:sz="4" w:space="0" w:color="auto"/>
              <w:right w:val="single" w:sz="4" w:space="0" w:color="auto"/>
            </w:tcBorders>
            <w:shd w:val="clear" w:color="auto" w:fill="auto"/>
            <w:noWrap/>
            <w:hideMark/>
          </w:tcPr>
          <w:p w14:paraId="65CFFFE9" w14:textId="6AB61564"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19" w:type="pct"/>
            <w:tcBorders>
              <w:top w:val="nil"/>
              <w:left w:val="nil"/>
              <w:bottom w:val="single" w:sz="4" w:space="0" w:color="auto"/>
              <w:right w:val="single" w:sz="4" w:space="0" w:color="auto"/>
            </w:tcBorders>
            <w:shd w:val="clear" w:color="auto" w:fill="auto"/>
            <w:noWrap/>
            <w:hideMark/>
          </w:tcPr>
          <w:p w14:paraId="7799684E" w14:textId="5869D931"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r>
      <w:tr w:rsidR="007C756E" w:rsidRPr="0057086A" w14:paraId="313A01AE" w14:textId="77777777" w:rsidTr="00D05337">
        <w:trPr>
          <w:trHeight w:val="270"/>
        </w:trPr>
        <w:tc>
          <w:tcPr>
            <w:tcW w:w="775" w:type="pct"/>
            <w:vMerge/>
            <w:tcBorders>
              <w:top w:val="nil"/>
              <w:left w:val="single" w:sz="8" w:space="0" w:color="auto"/>
              <w:bottom w:val="single" w:sz="8" w:space="0" w:color="000000"/>
              <w:right w:val="single" w:sz="4" w:space="0" w:color="auto"/>
            </w:tcBorders>
            <w:vAlign w:val="center"/>
            <w:hideMark/>
          </w:tcPr>
          <w:p w14:paraId="5D37E61B" w14:textId="77777777" w:rsidR="007C756E" w:rsidRPr="0057086A" w:rsidRDefault="007C756E" w:rsidP="003C486B">
            <w:pPr>
              <w:spacing w:line="240" w:lineRule="auto"/>
              <w:rPr>
                <w:rFonts w:eastAsia="Times New Roman" w:cs="Arial"/>
                <w:color w:val="000000"/>
                <w:spacing w:val="0"/>
                <w:sz w:val="16"/>
                <w:szCs w:val="16"/>
                <w:lang w:eastAsia="en-US"/>
              </w:rPr>
            </w:pPr>
          </w:p>
        </w:tc>
        <w:tc>
          <w:tcPr>
            <w:tcW w:w="759" w:type="pct"/>
            <w:tcBorders>
              <w:top w:val="nil"/>
              <w:left w:val="nil"/>
              <w:bottom w:val="single" w:sz="8" w:space="0" w:color="auto"/>
              <w:right w:val="single" w:sz="4" w:space="0" w:color="auto"/>
            </w:tcBorders>
            <w:shd w:val="clear" w:color="auto" w:fill="auto"/>
            <w:noWrap/>
            <w:vAlign w:val="bottom"/>
            <w:hideMark/>
          </w:tcPr>
          <w:p w14:paraId="44837320" w14:textId="77777777" w:rsidR="007C756E" w:rsidRPr="0057086A" w:rsidRDefault="007C756E" w:rsidP="003C486B">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70" w:type="pct"/>
            <w:tcBorders>
              <w:top w:val="nil"/>
              <w:left w:val="nil"/>
              <w:bottom w:val="single" w:sz="8" w:space="0" w:color="auto"/>
              <w:right w:val="single" w:sz="4" w:space="0" w:color="auto"/>
            </w:tcBorders>
            <w:shd w:val="clear" w:color="auto" w:fill="auto"/>
            <w:noWrap/>
            <w:vAlign w:val="bottom"/>
            <w:hideMark/>
          </w:tcPr>
          <w:p w14:paraId="01E459E3" w14:textId="77777777" w:rsidR="007C756E" w:rsidRPr="0057086A" w:rsidRDefault="007C756E" w:rsidP="003C486B">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8" w:space="0" w:color="auto"/>
              <w:right w:val="single" w:sz="4" w:space="0" w:color="auto"/>
            </w:tcBorders>
            <w:shd w:val="clear" w:color="auto" w:fill="auto"/>
            <w:noWrap/>
            <w:hideMark/>
          </w:tcPr>
          <w:p w14:paraId="305902FA" w14:textId="2B8DF657"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29" w:type="pct"/>
            <w:tcBorders>
              <w:top w:val="nil"/>
              <w:left w:val="nil"/>
              <w:bottom w:val="single" w:sz="8" w:space="0" w:color="auto"/>
              <w:right w:val="single" w:sz="4" w:space="0" w:color="auto"/>
            </w:tcBorders>
            <w:shd w:val="clear" w:color="auto" w:fill="auto"/>
            <w:noWrap/>
            <w:hideMark/>
          </w:tcPr>
          <w:p w14:paraId="61D3FC6C" w14:textId="5E848681"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29" w:type="pct"/>
            <w:tcBorders>
              <w:top w:val="nil"/>
              <w:left w:val="nil"/>
              <w:bottom w:val="single" w:sz="8" w:space="0" w:color="auto"/>
              <w:right w:val="single" w:sz="4" w:space="0" w:color="auto"/>
            </w:tcBorders>
            <w:shd w:val="clear" w:color="auto" w:fill="auto"/>
            <w:noWrap/>
            <w:hideMark/>
          </w:tcPr>
          <w:p w14:paraId="1C87B6A5" w14:textId="60666528"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30" w:type="pct"/>
            <w:tcBorders>
              <w:top w:val="nil"/>
              <w:left w:val="nil"/>
              <w:bottom w:val="single" w:sz="8" w:space="0" w:color="auto"/>
              <w:right w:val="single" w:sz="4" w:space="0" w:color="auto"/>
            </w:tcBorders>
            <w:shd w:val="clear" w:color="auto" w:fill="auto"/>
            <w:noWrap/>
            <w:hideMark/>
          </w:tcPr>
          <w:p w14:paraId="1D7691A3" w14:textId="57AC371A"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30" w:type="pct"/>
            <w:tcBorders>
              <w:top w:val="nil"/>
              <w:left w:val="nil"/>
              <w:bottom w:val="single" w:sz="8" w:space="0" w:color="auto"/>
              <w:right w:val="single" w:sz="4" w:space="0" w:color="auto"/>
            </w:tcBorders>
            <w:shd w:val="clear" w:color="auto" w:fill="auto"/>
            <w:noWrap/>
            <w:hideMark/>
          </w:tcPr>
          <w:p w14:paraId="68BDEECF" w14:textId="33940DC7"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30" w:type="pct"/>
            <w:tcBorders>
              <w:top w:val="nil"/>
              <w:left w:val="nil"/>
              <w:bottom w:val="single" w:sz="8" w:space="0" w:color="auto"/>
              <w:right w:val="single" w:sz="4" w:space="0" w:color="auto"/>
            </w:tcBorders>
            <w:shd w:val="clear" w:color="auto" w:fill="auto"/>
            <w:noWrap/>
            <w:hideMark/>
          </w:tcPr>
          <w:p w14:paraId="597F57CF" w14:textId="7A9619D2"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c>
          <w:tcPr>
            <w:tcW w:w="419" w:type="pct"/>
            <w:tcBorders>
              <w:top w:val="nil"/>
              <w:left w:val="nil"/>
              <w:bottom w:val="single" w:sz="8" w:space="0" w:color="auto"/>
              <w:right w:val="single" w:sz="4" w:space="0" w:color="auto"/>
            </w:tcBorders>
            <w:shd w:val="clear" w:color="auto" w:fill="auto"/>
            <w:noWrap/>
            <w:hideMark/>
          </w:tcPr>
          <w:p w14:paraId="05588D86" w14:textId="67429C8F" w:rsidR="007C756E" w:rsidRPr="0057086A" w:rsidRDefault="007C756E" w:rsidP="003C486B">
            <w:pPr>
              <w:spacing w:line="240" w:lineRule="auto"/>
              <w:jc w:val="right"/>
              <w:rPr>
                <w:rFonts w:eastAsia="Times New Roman" w:cs="Arial"/>
                <w:color w:val="000000"/>
                <w:spacing w:val="0"/>
                <w:sz w:val="16"/>
                <w:szCs w:val="16"/>
                <w:lang w:eastAsia="en-US"/>
              </w:rPr>
            </w:pPr>
            <w:proofErr w:type="spellStart"/>
            <w:proofErr w:type="gramStart"/>
            <w:r w:rsidRPr="002740B1">
              <w:rPr>
                <w:rFonts w:cs="Arial"/>
                <w:color w:val="000000"/>
                <w:sz w:val="16"/>
                <w:szCs w:val="16"/>
                <w:lang w:val="en-US"/>
              </w:rPr>
              <w:t>x,xx</w:t>
            </w:r>
            <w:proofErr w:type="spellEnd"/>
            <w:proofErr w:type="gramEnd"/>
          </w:p>
        </w:tc>
      </w:tr>
    </w:tbl>
    <w:p w14:paraId="2DC376A4" w14:textId="53D4965D" w:rsidR="0093789F" w:rsidRPr="0057086A" w:rsidRDefault="0093789F" w:rsidP="007C756E">
      <w:pPr>
        <w:ind w:left="709"/>
        <w:rPr>
          <w:sz w:val="16"/>
          <w:szCs w:val="16"/>
        </w:rPr>
      </w:pPr>
    </w:p>
    <w:p w14:paraId="1D994887" w14:textId="0DA1D301" w:rsidR="004B666F" w:rsidRPr="0057086A" w:rsidRDefault="004B666F" w:rsidP="00825B2D">
      <w:pPr>
        <w:ind w:left="709"/>
        <w:rPr>
          <w:sz w:val="16"/>
          <w:szCs w:val="16"/>
          <w:lang w:val="en-US"/>
        </w:rPr>
      </w:pPr>
    </w:p>
    <w:p w14:paraId="13459CB5" w14:textId="77777777" w:rsidR="004B666F" w:rsidRPr="0057086A" w:rsidRDefault="004B666F" w:rsidP="00A908E8">
      <w:pPr>
        <w:rPr>
          <w:sz w:val="16"/>
          <w:szCs w:val="16"/>
        </w:rPr>
      </w:pPr>
    </w:p>
    <w:p w14:paraId="54669633" w14:textId="77777777" w:rsidR="00D533C0" w:rsidRPr="0057086A" w:rsidRDefault="00D533C0" w:rsidP="00825B2D">
      <w:pPr>
        <w:ind w:left="709"/>
        <w:rPr>
          <w:sz w:val="16"/>
          <w:szCs w:val="16"/>
        </w:rPr>
      </w:pPr>
    </w:p>
    <w:tbl>
      <w:tblPr>
        <w:tblW w:w="5000" w:type="pct"/>
        <w:tblLook w:val="04A0" w:firstRow="1" w:lastRow="0" w:firstColumn="1" w:lastColumn="0" w:noHBand="0" w:noVBand="1"/>
      </w:tblPr>
      <w:tblGrid>
        <w:gridCol w:w="1468"/>
        <w:gridCol w:w="1441"/>
        <w:gridCol w:w="891"/>
        <w:gridCol w:w="796"/>
        <w:gridCol w:w="796"/>
        <w:gridCol w:w="796"/>
        <w:gridCol w:w="796"/>
        <w:gridCol w:w="796"/>
        <w:gridCol w:w="1045"/>
        <w:gridCol w:w="793"/>
      </w:tblGrid>
      <w:tr w:rsidR="003C486B" w:rsidRPr="0057086A" w14:paraId="0D64F8B7" w14:textId="77777777" w:rsidTr="007C756E">
        <w:trPr>
          <w:trHeight w:val="255"/>
        </w:trPr>
        <w:tc>
          <w:tcPr>
            <w:tcW w:w="763" w:type="pct"/>
            <w:vMerge w:val="restart"/>
            <w:tcBorders>
              <w:top w:val="single" w:sz="8" w:space="0" w:color="auto"/>
              <w:left w:val="single" w:sz="8" w:space="0" w:color="auto"/>
              <w:bottom w:val="nil"/>
              <w:right w:val="single" w:sz="4" w:space="0" w:color="auto"/>
            </w:tcBorders>
            <w:shd w:val="clear" w:color="auto" w:fill="auto"/>
            <w:noWrap/>
            <w:vAlign w:val="center"/>
            <w:hideMark/>
          </w:tcPr>
          <w:p w14:paraId="6AB0C072" w14:textId="77777777" w:rsidR="003C486B" w:rsidRPr="0057086A" w:rsidRDefault="003C486B" w:rsidP="003C486B">
            <w:pPr>
              <w:spacing w:line="240" w:lineRule="auto"/>
              <w:jc w:val="center"/>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месец</w:t>
            </w:r>
          </w:p>
        </w:tc>
        <w:tc>
          <w:tcPr>
            <w:tcW w:w="749"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19D3CE5A" w14:textId="77777777" w:rsidR="003C486B" w:rsidRPr="0057086A" w:rsidRDefault="003C486B" w:rsidP="003C486B">
            <w:pPr>
              <w:spacing w:line="240" w:lineRule="auto"/>
              <w:jc w:val="center"/>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Дим.</w:t>
            </w:r>
          </w:p>
        </w:tc>
        <w:tc>
          <w:tcPr>
            <w:tcW w:w="463"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6DA00C9D" w14:textId="77777777" w:rsidR="003C486B" w:rsidRPr="0057086A" w:rsidRDefault="003C486B" w:rsidP="003C486B">
            <w:pPr>
              <w:spacing w:line="240" w:lineRule="auto"/>
              <w:jc w:val="center"/>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дименсия</w:t>
            </w:r>
          </w:p>
        </w:tc>
        <w:tc>
          <w:tcPr>
            <w:tcW w:w="414"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3010CC89" w14:textId="3DAB6594" w:rsidR="003C486B" w:rsidRPr="003C486B" w:rsidRDefault="003C486B" w:rsidP="003C486B">
            <w:pPr>
              <w:spacing w:line="240" w:lineRule="auto"/>
              <w:jc w:val="center"/>
              <w:rPr>
                <w:rFonts w:eastAsia="Times New Roman" w:cs="Arial"/>
                <w:spacing w:val="0"/>
                <w:sz w:val="16"/>
                <w:szCs w:val="16"/>
                <w:lang w:eastAsia="en-US"/>
              </w:rPr>
            </w:pPr>
            <w:r w:rsidRPr="003C486B">
              <w:rPr>
                <w:rFonts w:cs="Arial"/>
                <w:sz w:val="16"/>
                <w:szCs w:val="16"/>
              </w:rPr>
              <w:t>02.2025</w:t>
            </w:r>
          </w:p>
        </w:tc>
        <w:tc>
          <w:tcPr>
            <w:tcW w:w="414"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0F837405" w14:textId="7C07AD16" w:rsidR="003C486B" w:rsidRPr="003C486B" w:rsidRDefault="003C486B" w:rsidP="003C486B">
            <w:pPr>
              <w:spacing w:line="240" w:lineRule="auto"/>
              <w:jc w:val="center"/>
              <w:rPr>
                <w:rFonts w:eastAsia="Times New Roman" w:cs="Arial"/>
                <w:spacing w:val="0"/>
                <w:sz w:val="16"/>
                <w:szCs w:val="16"/>
                <w:lang w:eastAsia="en-US"/>
              </w:rPr>
            </w:pPr>
            <w:r w:rsidRPr="003C486B">
              <w:rPr>
                <w:rFonts w:cs="Arial"/>
                <w:sz w:val="16"/>
                <w:szCs w:val="16"/>
              </w:rPr>
              <w:t>03.2025</w:t>
            </w:r>
          </w:p>
        </w:tc>
        <w:tc>
          <w:tcPr>
            <w:tcW w:w="414"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4106ABE6" w14:textId="7AE54276" w:rsidR="003C486B" w:rsidRPr="003C486B" w:rsidRDefault="003C486B" w:rsidP="003C486B">
            <w:pPr>
              <w:spacing w:line="240" w:lineRule="auto"/>
              <w:jc w:val="center"/>
              <w:rPr>
                <w:rFonts w:eastAsia="Times New Roman" w:cs="Arial"/>
                <w:spacing w:val="0"/>
                <w:sz w:val="16"/>
                <w:szCs w:val="16"/>
                <w:lang w:eastAsia="en-US"/>
              </w:rPr>
            </w:pPr>
            <w:r w:rsidRPr="003C486B">
              <w:rPr>
                <w:rFonts w:cs="Arial"/>
                <w:sz w:val="16"/>
                <w:szCs w:val="16"/>
              </w:rPr>
              <w:t>04.2025</w:t>
            </w:r>
          </w:p>
        </w:tc>
        <w:tc>
          <w:tcPr>
            <w:tcW w:w="414" w:type="pct"/>
            <w:vMerge w:val="restart"/>
            <w:tcBorders>
              <w:top w:val="single" w:sz="8" w:space="0" w:color="auto"/>
              <w:left w:val="single" w:sz="4" w:space="0" w:color="auto"/>
              <w:bottom w:val="nil"/>
              <w:right w:val="nil"/>
            </w:tcBorders>
            <w:shd w:val="clear" w:color="auto" w:fill="auto"/>
            <w:noWrap/>
            <w:vAlign w:val="center"/>
            <w:hideMark/>
          </w:tcPr>
          <w:p w14:paraId="37FD665B" w14:textId="7DCDAD2E" w:rsidR="003C486B" w:rsidRPr="003C486B" w:rsidRDefault="003C486B" w:rsidP="003C486B">
            <w:pPr>
              <w:spacing w:line="240" w:lineRule="auto"/>
              <w:jc w:val="center"/>
              <w:rPr>
                <w:rFonts w:eastAsia="Times New Roman" w:cs="Arial"/>
                <w:spacing w:val="0"/>
                <w:sz w:val="16"/>
                <w:szCs w:val="16"/>
                <w:lang w:eastAsia="en-US"/>
              </w:rPr>
            </w:pPr>
            <w:r w:rsidRPr="003C486B">
              <w:rPr>
                <w:rFonts w:cs="Arial"/>
                <w:sz w:val="16"/>
                <w:szCs w:val="16"/>
              </w:rPr>
              <w:t>05.2025</w:t>
            </w:r>
          </w:p>
        </w:tc>
        <w:tc>
          <w:tcPr>
            <w:tcW w:w="414" w:type="pct"/>
            <w:vMerge w:val="restart"/>
            <w:tcBorders>
              <w:top w:val="single" w:sz="8" w:space="0" w:color="auto"/>
              <w:left w:val="single" w:sz="4" w:space="0" w:color="auto"/>
              <w:bottom w:val="nil"/>
              <w:right w:val="nil"/>
            </w:tcBorders>
            <w:shd w:val="clear" w:color="auto" w:fill="auto"/>
            <w:noWrap/>
            <w:vAlign w:val="center"/>
            <w:hideMark/>
          </w:tcPr>
          <w:p w14:paraId="0F4C75B2" w14:textId="1815A4B8" w:rsidR="003C486B" w:rsidRPr="003C486B" w:rsidRDefault="003C486B" w:rsidP="003C486B">
            <w:pPr>
              <w:spacing w:line="240" w:lineRule="auto"/>
              <w:jc w:val="center"/>
              <w:rPr>
                <w:rFonts w:eastAsia="Times New Roman" w:cs="Arial"/>
                <w:spacing w:val="0"/>
                <w:sz w:val="16"/>
                <w:szCs w:val="16"/>
                <w:lang w:eastAsia="en-US"/>
              </w:rPr>
            </w:pPr>
            <w:r w:rsidRPr="003C486B">
              <w:rPr>
                <w:rFonts w:cs="Arial"/>
                <w:sz w:val="16"/>
                <w:szCs w:val="16"/>
              </w:rPr>
              <w:t>06.2025</w:t>
            </w:r>
          </w:p>
        </w:tc>
        <w:tc>
          <w:tcPr>
            <w:tcW w:w="543" w:type="pct"/>
            <w:vMerge w:val="restart"/>
            <w:tcBorders>
              <w:top w:val="single" w:sz="8" w:space="0" w:color="auto"/>
              <w:left w:val="single" w:sz="4" w:space="0" w:color="auto"/>
              <w:bottom w:val="nil"/>
              <w:right w:val="single" w:sz="4" w:space="0" w:color="auto"/>
            </w:tcBorders>
            <w:shd w:val="clear" w:color="auto" w:fill="auto"/>
            <w:vAlign w:val="bottom"/>
            <w:hideMark/>
          </w:tcPr>
          <w:p w14:paraId="034BEFD4" w14:textId="6BFA838D" w:rsidR="003C486B" w:rsidRPr="0057086A" w:rsidRDefault="003C486B" w:rsidP="003C486B">
            <w:pPr>
              <w:spacing w:line="240" w:lineRule="auto"/>
              <w:jc w:val="center"/>
              <w:rPr>
                <w:rFonts w:eastAsia="Times New Roman" w:cs="Arial"/>
                <w:color w:val="000000"/>
                <w:spacing w:val="0"/>
                <w:sz w:val="16"/>
                <w:szCs w:val="16"/>
                <w:lang w:eastAsia="en-US"/>
              </w:rPr>
            </w:pPr>
            <w:r w:rsidRPr="0057086A">
              <w:rPr>
                <w:rFonts w:cs="Arial"/>
                <w:color w:val="000000"/>
                <w:sz w:val="16"/>
                <w:szCs w:val="16"/>
              </w:rPr>
              <w:t>Общо Количества</w:t>
            </w:r>
          </w:p>
        </w:tc>
        <w:tc>
          <w:tcPr>
            <w:tcW w:w="413" w:type="pct"/>
            <w:vMerge w:val="restart"/>
            <w:tcBorders>
              <w:top w:val="single" w:sz="8" w:space="0" w:color="auto"/>
              <w:left w:val="single" w:sz="4" w:space="0" w:color="auto"/>
              <w:bottom w:val="nil"/>
              <w:right w:val="single" w:sz="8" w:space="0" w:color="auto"/>
            </w:tcBorders>
            <w:shd w:val="clear" w:color="auto" w:fill="auto"/>
            <w:vAlign w:val="bottom"/>
            <w:hideMark/>
          </w:tcPr>
          <w:p w14:paraId="133C5A68" w14:textId="7ECB3F99" w:rsidR="003C486B" w:rsidRPr="0057086A" w:rsidRDefault="003C486B" w:rsidP="003C486B">
            <w:pPr>
              <w:spacing w:line="240" w:lineRule="auto"/>
              <w:jc w:val="center"/>
              <w:rPr>
                <w:rFonts w:eastAsia="Times New Roman" w:cs="Arial"/>
                <w:color w:val="000000"/>
                <w:spacing w:val="0"/>
                <w:sz w:val="16"/>
                <w:szCs w:val="16"/>
                <w:lang w:eastAsia="en-US"/>
              </w:rPr>
            </w:pPr>
            <w:r w:rsidRPr="0057086A">
              <w:rPr>
                <w:rFonts w:cs="Arial"/>
                <w:color w:val="000000"/>
                <w:sz w:val="16"/>
                <w:szCs w:val="16"/>
              </w:rPr>
              <w:t>Общо</w:t>
            </w:r>
            <w:r w:rsidRPr="0057086A">
              <w:rPr>
                <w:rFonts w:cs="Arial"/>
                <w:color w:val="000000"/>
                <w:sz w:val="16"/>
                <w:szCs w:val="16"/>
              </w:rPr>
              <w:br/>
              <w:t>разход</w:t>
            </w:r>
          </w:p>
        </w:tc>
      </w:tr>
      <w:tr w:rsidR="000277F7" w:rsidRPr="0057086A" w14:paraId="3A58E8CD" w14:textId="77777777" w:rsidTr="007C756E">
        <w:trPr>
          <w:trHeight w:val="270"/>
        </w:trPr>
        <w:tc>
          <w:tcPr>
            <w:tcW w:w="763" w:type="pct"/>
            <w:vMerge/>
            <w:tcBorders>
              <w:top w:val="single" w:sz="8" w:space="0" w:color="auto"/>
              <w:left w:val="single" w:sz="8" w:space="0" w:color="auto"/>
              <w:bottom w:val="nil"/>
              <w:right w:val="single" w:sz="4" w:space="0" w:color="auto"/>
            </w:tcBorders>
            <w:vAlign w:val="center"/>
            <w:hideMark/>
          </w:tcPr>
          <w:p w14:paraId="75A6400C"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749" w:type="pct"/>
            <w:vMerge/>
            <w:tcBorders>
              <w:top w:val="single" w:sz="8" w:space="0" w:color="auto"/>
              <w:left w:val="single" w:sz="4" w:space="0" w:color="auto"/>
              <w:bottom w:val="nil"/>
              <w:right w:val="single" w:sz="4" w:space="0" w:color="auto"/>
            </w:tcBorders>
            <w:vAlign w:val="center"/>
            <w:hideMark/>
          </w:tcPr>
          <w:p w14:paraId="05F3F5B6"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463" w:type="pct"/>
            <w:vMerge/>
            <w:tcBorders>
              <w:top w:val="single" w:sz="8" w:space="0" w:color="auto"/>
              <w:left w:val="single" w:sz="4" w:space="0" w:color="auto"/>
              <w:bottom w:val="nil"/>
              <w:right w:val="single" w:sz="4" w:space="0" w:color="auto"/>
            </w:tcBorders>
            <w:vAlign w:val="center"/>
            <w:hideMark/>
          </w:tcPr>
          <w:p w14:paraId="7B260993"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414" w:type="pct"/>
            <w:vMerge/>
            <w:tcBorders>
              <w:top w:val="single" w:sz="8" w:space="0" w:color="auto"/>
              <w:left w:val="single" w:sz="4" w:space="0" w:color="auto"/>
              <w:bottom w:val="nil"/>
              <w:right w:val="single" w:sz="4" w:space="0" w:color="auto"/>
            </w:tcBorders>
            <w:vAlign w:val="center"/>
            <w:hideMark/>
          </w:tcPr>
          <w:p w14:paraId="7D4A5106" w14:textId="77777777" w:rsidR="000277F7" w:rsidRPr="0057086A" w:rsidRDefault="000277F7" w:rsidP="000277F7">
            <w:pPr>
              <w:spacing w:line="240" w:lineRule="auto"/>
              <w:rPr>
                <w:rFonts w:eastAsia="Times New Roman" w:cs="Arial"/>
                <w:spacing w:val="0"/>
                <w:sz w:val="16"/>
                <w:szCs w:val="16"/>
                <w:lang w:eastAsia="en-US"/>
              </w:rPr>
            </w:pPr>
          </w:p>
        </w:tc>
        <w:tc>
          <w:tcPr>
            <w:tcW w:w="414" w:type="pct"/>
            <w:vMerge/>
            <w:tcBorders>
              <w:top w:val="single" w:sz="8" w:space="0" w:color="auto"/>
              <w:left w:val="single" w:sz="4" w:space="0" w:color="auto"/>
              <w:bottom w:val="nil"/>
              <w:right w:val="single" w:sz="4" w:space="0" w:color="auto"/>
            </w:tcBorders>
            <w:vAlign w:val="center"/>
            <w:hideMark/>
          </w:tcPr>
          <w:p w14:paraId="27134080" w14:textId="77777777" w:rsidR="000277F7" w:rsidRPr="0057086A" w:rsidRDefault="000277F7" w:rsidP="000277F7">
            <w:pPr>
              <w:spacing w:line="240" w:lineRule="auto"/>
              <w:rPr>
                <w:rFonts w:eastAsia="Times New Roman" w:cs="Arial"/>
                <w:spacing w:val="0"/>
                <w:sz w:val="16"/>
                <w:szCs w:val="16"/>
                <w:lang w:eastAsia="en-US"/>
              </w:rPr>
            </w:pPr>
          </w:p>
        </w:tc>
        <w:tc>
          <w:tcPr>
            <w:tcW w:w="414" w:type="pct"/>
            <w:vMerge/>
            <w:tcBorders>
              <w:top w:val="single" w:sz="8" w:space="0" w:color="auto"/>
              <w:left w:val="single" w:sz="4" w:space="0" w:color="auto"/>
              <w:bottom w:val="nil"/>
              <w:right w:val="single" w:sz="4" w:space="0" w:color="auto"/>
            </w:tcBorders>
            <w:vAlign w:val="center"/>
            <w:hideMark/>
          </w:tcPr>
          <w:p w14:paraId="289E48F1" w14:textId="77777777" w:rsidR="000277F7" w:rsidRPr="0057086A" w:rsidRDefault="000277F7" w:rsidP="000277F7">
            <w:pPr>
              <w:spacing w:line="240" w:lineRule="auto"/>
              <w:rPr>
                <w:rFonts w:eastAsia="Times New Roman" w:cs="Arial"/>
                <w:spacing w:val="0"/>
                <w:sz w:val="16"/>
                <w:szCs w:val="16"/>
                <w:lang w:eastAsia="en-US"/>
              </w:rPr>
            </w:pPr>
          </w:p>
        </w:tc>
        <w:tc>
          <w:tcPr>
            <w:tcW w:w="414" w:type="pct"/>
            <w:vMerge/>
            <w:tcBorders>
              <w:top w:val="single" w:sz="8" w:space="0" w:color="auto"/>
              <w:left w:val="single" w:sz="4" w:space="0" w:color="auto"/>
              <w:bottom w:val="nil"/>
              <w:right w:val="nil"/>
            </w:tcBorders>
            <w:vAlign w:val="center"/>
            <w:hideMark/>
          </w:tcPr>
          <w:p w14:paraId="5B61023E" w14:textId="77777777" w:rsidR="000277F7" w:rsidRPr="0057086A" w:rsidRDefault="000277F7" w:rsidP="000277F7">
            <w:pPr>
              <w:spacing w:line="240" w:lineRule="auto"/>
              <w:rPr>
                <w:rFonts w:eastAsia="Times New Roman" w:cs="Arial"/>
                <w:spacing w:val="0"/>
                <w:sz w:val="16"/>
                <w:szCs w:val="16"/>
                <w:lang w:eastAsia="en-US"/>
              </w:rPr>
            </w:pPr>
          </w:p>
        </w:tc>
        <w:tc>
          <w:tcPr>
            <w:tcW w:w="414" w:type="pct"/>
            <w:vMerge/>
            <w:tcBorders>
              <w:top w:val="single" w:sz="8" w:space="0" w:color="auto"/>
              <w:left w:val="single" w:sz="4" w:space="0" w:color="auto"/>
              <w:bottom w:val="nil"/>
              <w:right w:val="nil"/>
            </w:tcBorders>
            <w:vAlign w:val="center"/>
            <w:hideMark/>
          </w:tcPr>
          <w:p w14:paraId="339FE34F" w14:textId="77777777" w:rsidR="000277F7" w:rsidRPr="0057086A" w:rsidRDefault="000277F7" w:rsidP="000277F7">
            <w:pPr>
              <w:spacing w:line="240" w:lineRule="auto"/>
              <w:rPr>
                <w:rFonts w:eastAsia="Times New Roman" w:cs="Arial"/>
                <w:spacing w:val="0"/>
                <w:sz w:val="16"/>
                <w:szCs w:val="16"/>
                <w:lang w:eastAsia="en-US"/>
              </w:rPr>
            </w:pPr>
          </w:p>
        </w:tc>
        <w:tc>
          <w:tcPr>
            <w:tcW w:w="543" w:type="pct"/>
            <w:vMerge/>
            <w:tcBorders>
              <w:top w:val="single" w:sz="8" w:space="0" w:color="auto"/>
              <w:left w:val="single" w:sz="4" w:space="0" w:color="auto"/>
              <w:bottom w:val="nil"/>
              <w:right w:val="single" w:sz="4" w:space="0" w:color="auto"/>
            </w:tcBorders>
            <w:vAlign w:val="center"/>
            <w:hideMark/>
          </w:tcPr>
          <w:p w14:paraId="17E01EED"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413" w:type="pct"/>
            <w:vMerge/>
            <w:tcBorders>
              <w:top w:val="single" w:sz="8" w:space="0" w:color="auto"/>
              <w:left w:val="single" w:sz="4" w:space="0" w:color="auto"/>
              <w:bottom w:val="nil"/>
              <w:right w:val="single" w:sz="8" w:space="0" w:color="auto"/>
            </w:tcBorders>
            <w:vAlign w:val="center"/>
            <w:hideMark/>
          </w:tcPr>
          <w:p w14:paraId="0C0F19AE" w14:textId="77777777" w:rsidR="000277F7" w:rsidRPr="0057086A" w:rsidRDefault="000277F7" w:rsidP="000277F7">
            <w:pPr>
              <w:spacing w:line="240" w:lineRule="auto"/>
              <w:rPr>
                <w:rFonts w:eastAsia="Times New Roman" w:cs="Arial"/>
                <w:color w:val="000000"/>
                <w:spacing w:val="0"/>
                <w:sz w:val="16"/>
                <w:szCs w:val="16"/>
                <w:lang w:eastAsia="en-US"/>
              </w:rPr>
            </w:pPr>
          </w:p>
        </w:tc>
      </w:tr>
      <w:tr w:rsidR="007C756E" w:rsidRPr="0057086A" w14:paraId="1AE34743" w14:textId="77777777" w:rsidTr="007C756E">
        <w:trPr>
          <w:trHeight w:val="255"/>
        </w:trPr>
        <w:tc>
          <w:tcPr>
            <w:tcW w:w="763" w:type="pct"/>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7FE7C9F9" w14:textId="77777777" w:rsidR="007C756E" w:rsidRPr="0057086A" w:rsidRDefault="007C756E" w:rsidP="007C756E">
            <w:pPr>
              <w:spacing w:line="240" w:lineRule="auto"/>
              <w:rPr>
                <w:rFonts w:eastAsia="Times New Roman" w:cs="Arial"/>
                <w:spacing w:val="0"/>
                <w:sz w:val="16"/>
                <w:szCs w:val="16"/>
                <w:lang w:eastAsia="en-US"/>
              </w:rPr>
            </w:pPr>
            <w:r w:rsidRPr="0057086A">
              <w:rPr>
                <w:rFonts w:eastAsia="Times New Roman" w:cs="Arial"/>
                <w:spacing w:val="0"/>
                <w:sz w:val="16"/>
                <w:szCs w:val="16"/>
                <w:lang w:eastAsia="en-US"/>
              </w:rPr>
              <w:t>ТЕЦ производство</w:t>
            </w:r>
          </w:p>
        </w:tc>
        <w:tc>
          <w:tcPr>
            <w:tcW w:w="749" w:type="pct"/>
            <w:tcBorders>
              <w:top w:val="single" w:sz="8" w:space="0" w:color="auto"/>
              <w:left w:val="nil"/>
              <w:bottom w:val="single" w:sz="4" w:space="0" w:color="auto"/>
              <w:right w:val="single" w:sz="4" w:space="0" w:color="auto"/>
            </w:tcBorders>
            <w:shd w:val="clear" w:color="auto" w:fill="auto"/>
            <w:noWrap/>
            <w:vAlign w:val="bottom"/>
            <w:hideMark/>
          </w:tcPr>
          <w:p w14:paraId="7A3C5CED"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63" w:type="pct"/>
            <w:tcBorders>
              <w:top w:val="single" w:sz="8" w:space="0" w:color="auto"/>
              <w:left w:val="nil"/>
              <w:bottom w:val="single" w:sz="4" w:space="0" w:color="auto"/>
              <w:right w:val="single" w:sz="4" w:space="0" w:color="auto"/>
            </w:tcBorders>
            <w:shd w:val="clear" w:color="auto" w:fill="auto"/>
            <w:noWrap/>
            <w:vAlign w:val="bottom"/>
            <w:hideMark/>
          </w:tcPr>
          <w:p w14:paraId="78C5D985"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14" w:type="pct"/>
            <w:tcBorders>
              <w:top w:val="single" w:sz="8" w:space="0" w:color="auto"/>
              <w:left w:val="single" w:sz="4" w:space="0" w:color="auto"/>
              <w:bottom w:val="single" w:sz="4" w:space="0" w:color="auto"/>
              <w:right w:val="single" w:sz="4" w:space="0" w:color="auto"/>
            </w:tcBorders>
            <w:shd w:val="clear" w:color="000000" w:fill="FFFFFF"/>
            <w:noWrap/>
            <w:hideMark/>
          </w:tcPr>
          <w:p w14:paraId="5936B309" w14:textId="316AD601" w:rsidR="007C756E" w:rsidRPr="0057086A" w:rsidRDefault="007C756E" w:rsidP="007C756E">
            <w:pPr>
              <w:spacing w:line="240" w:lineRule="auto"/>
              <w:jc w:val="right"/>
              <w:rPr>
                <w:rFonts w:eastAsia="Times New Roman" w:cs="Arial"/>
                <w:b/>
                <w:bCs/>
                <w:color w:val="000000"/>
                <w:spacing w:val="0"/>
                <w:sz w:val="16"/>
                <w:szCs w:val="16"/>
                <w:lang w:eastAsia="en-US"/>
              </w:rPr>
            </w:pPr>
            <w:r w:rsidRPr="0002207B">
              <w:rPr>
                <w:b/>
                <w:bCs/>
              </w:rPr>
              <w:t>x xxx</w:t>
            </w:r>
          </w:p>
        </w:tc>
        <w:tc>
          <w:tcPr>
            <w:tcW w:w="414" w:type="pct"/>
            <w:tcBorders>
              <w:top w:val="single" w:sz="8" w:space="0" w:color="auto"/>
              <w:left w:val="nil"/>
              <w:bottom w:val="single" w:sz="4" w:space="0" w:color="auto"/>
              <w:right w:val="single" w:sz="4" w:space="0" w:color="auto"/>
            </w:tcBorders>
            <w:shd w:val="clear" w:color="000000" w:fill="FFFFFF"/>
            <w:noWrap/>
            <w:hideMark/>
          </w:tcPr>
          <w:p w14:paraId="227F3384" w14:textId="2FC82F71" w:rsidR="007C756E" w:rsidRPr="0057086A" w:rsidRDefault="007C756E" w:rsidP="007C756E">
            <w:pPr>
              <w:spacing w:line="240" w:lineRule="auto"/>
              <w:jc w:val="right"/>
              <w:rPr>
                <w:rFonts w:eastAsia="Times New Roman" w:cs="Arial"/>
                <w:b/>
                <w:bCs/>
                <w:color w:val="000000"/>
                <w:spacing w:val="0"/>
                <w:sz w:val="16"/>
                <w:szCs w:val="16"/>
                <w:lang w:eastAsia="en-US"/>
              </w:rPr>
            </w:pPr>
            <w:r w:rsidRPr="0002207B">
              <w:rPr>
                <w:b/>
                <w:bCs/>
              </w:rPr>
              <w:t>x xxx</w:t>
            </w:r>
          </w:p>
        </w:tc>
        <w:tc>
          <w:tcPr>
            <w:tcW w:w="414" w:type="pct"/>
            <w:tcBorders>
              <w:top w:val="single" w:sz="8" w:space="0" w:color="auto"/>
              <w:left w:val="nil"/>
              <w:bottom w:val="single" w:sz="4" w:space="0" w:color="auto"/>
              <w:right w:val="single" w:sz="4" w:space="0" w:color="auto"/>
            </w:tcBorders>
            <w:shd w:val="clear" w:color="000000" w:fill="FFFFFF"/>
            <w:noWrap/>
            <w:vAlign w:val="bottom"/>
            <w:hideMark/>
          </w:tcPr>
          <w:p w14:paraId="04E8213A" w14:textId="39DCC7C1" w:rsidR="007C756E" w:rsidRPr="0057086A" w:rsidRDefault="007C756E" w:rsidP="007C756E">
            <w:pPr>
              <w:spacing w:line="240" w:lineRule="auto"/>
              <w:jc w:val="right"/>
              <w:rPr>
                <w:rFonts w:eastAsia="Times New Roman" w:cs="Arial"/>
                <w:b/>
                <w:bCs/>
                <w:color w:val="000000"/>
                <w:spacing w:val="0"/>
                <w:sz w:val="16"/>
                <w:szCs w:val="16"/>
                <w:lang w:eastAsia="en-US"/>
              </w:rPr>
            </w:pPr>
            <w:r>
              <w:rPr>
                <w:rFonts w:cs="Arial"/>
                <w:b/>
                <w:bCs/>
                <w:color w:val="000000"/>
                <w:sz w:val="16"/>
                <w:szCs w:val="16"/>
                <w:lang w:val="en-US"/>
              </w:rPr>
              <w:t>xx xxx</w:t>
            </w:r>
          </w:p>
        </w:tc>
        <w:tc>
          <w:tcPr>
            <w:tcW w:w="414" w:type="pct"/>
            <w:tcBorders>
              <w:top w:val="single" w:sz="8" w:space="0" w:color="auto"/>
              <w:left w:val="nil"/>
              <w:bottom w:val="single" w:sz="4" w:space="0" w:color="auto"/>
              <w:right w:val="nil"/>
            </w:tcBorders>
            <w:shd w:val="clear" w:color="000000" w:fill="FFFFFF"/>
            <w:noWrap/>
            <w:hideMark/>
          </w:tcPr>
          <w:p w14:paraId="584F727B" w14:textId="63D71C14" w:rsidR="007C756E" w:rsidRPr="0057086A" w:rsidRDefault="007C756E" w:rsidP="007C756E">
            <w:pPr>
              <w:spacing w:line="240" w:lineRule="auto"/>
              <w:jc w:val="right"/>
              <w:rPr>
                <w:rFonts w:eastAsia="Times New Roman" w:cs="Arial"/>
                <w:b/>
                <w:bCs/>
                <w:color w:val="000000"/>
                <w:spacing w:val="0"/>
                <w:sz w:val="16"/>
                <w:szCs w:val="16"/>
                <w:lang w:eastAsia="en-US"/>
              </w:rPr>
            </w:pPr>
            <w:r w:rsidRPr="00AF7031">
              <w:rPr>
                <w:b/>
                <w:bCs/>
              </w:rPr>
              <w:t>x xxx</w:t>
            </w:r>
          </w:p>
        </w:tc>
        <w:tc>
          <w:tcPr>
            <w:tcW w:w="414" w:type="pct"/>
            <w:tcBorders>
              <w:top w:val="single" w:sz="8" w:space="0" w:color="auto"/>
              <w:left w:val="single" w:sz="4" w:space="0" w:color="auto"/>
              <w:bottom w:val="single" w:sz="4" w:space="0" w:color="auto"/>
              <w:right w:val="nil"/>
            </w:tcBorders>
            <w:shd w:val="clear" w:color="000000" w:fill="FFFFFF"/>
            <w:noWrap/>
            <w:hideMark/>
          </w:tcPr>
          <w:p w14:paraId="7AE7AC4D" w14:textId="6382587E" w:rsidR="007C756E" w:rsidRPr="0057086A" w:rsidRDefault="007C756E" w:rsidP="007C756E">
            <w:pPr>
              <w:spacing w:line="240" w:lineRule="auto"/>
              <w:jc w:val="right"/>
              <w:rPr>
                <w:rFonts w:eastAsia="Times New Roman" w:cs="Arial"/>
                <w:b/>
                <w:bCs/>
                <w:color w:val="000000"/>
                <w:spacing w:val="0"/>
                <w:sz w:val="16"/>
                <w:szCs w:val="16"/>
                <w:lang w:eastAsia="en-US"/>
              </w:rPr>
            </w:pPr>
            <w:r w:rsidRPr="00AF7031">
              <w:rPr>
                <w:b/>
                <w:bCs/>
              </w:rPr>
              <w:t>x xxx</w:t>
            </w:r>
          </w:p>
        </w:tc>
        <w:tc>
          <w:tcPr>
            <w:tcW w:w="543" w:type="pc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24C9FB16" w14:textId="7E788FA8" w:rsidR="007C756E" w:rsidRPr="007C756E" w:rsidRDefault="007C756E" w:rsidP="007C756E">
            <w:pPr>
              <w:spacing w:line="240" w:lineRule="auto"/>
              <w:jc w:val="right"/>
              <w:rPr>
                <w:rFonts w:eastAsia="Times New Roman" w:cs="Arial"/>
                <w:b/>
                <w:bCs/>
                <w:color w:val="000000"/>
                <w:spacing w:val="0"/>
                <w:sz w:val="16"/>
                <w:szCs w:val="16"/>
                <w:lang w:val="en-US" w:eastAsia="en-US"/>
              </w:rPr>
            </w:pPr>
            <w:r>
              <w:rPr>
                <w:rFonts w:ascii="Arial" w:hAnsi="Arial" w:cs="Arial"/>
                <w:b/>
                <w:bCs/>
                <w:color w:val="000000"/>
                <w:sz w:val="20"/>
                <w:szCs w:val="20"/>
                <w:lang w:val="en-US"/>
              </w:rPr>
              <w:t xml:space="preserve">xxx </w:t>
            </w:r>
            <w:proofErr w:type="spellStart"/>
            <w:r>
              <w:rPr>
                <w:rFonts w:ascii="Arial" w:hAnsi="Arial" w:cs="Arial"/>
                <w:b/>
                <w:bCs/>
                <w:color w:val="000000"/>
                <w:sz w:val="20"/>
                <w:szCs w:val="20"/>
                <w:lang w:val="en-US"/>
              </w:rPr>
              <w:t>xxx</w:t>
            </w:r>
            <w:proofErr w:type="spellEnd"/>
          </w:p>
        </w:tc>
        <w:tc>
          <w:tcPr>
            <w:tcW w:w="413" w:type="pct"/>
            <w:tcBorders>
              <w:top w:val="single" w:sz="8" w:space="0" w:color="auto"/>
              <w:left w:val="nil"/>
              <w:bottom w:val="single" w:sz="4" w:space="0" w:color="auto"/>
              <w:right w:val="single" w:sz="8" w:space="0" w:color="auto"/>
            </w:tcBorders>
            <w:shd w:val="clear" w:color="auto" w:fill="auto"/>
            <w:noWrap/>
            <w:vAlign w:val="bottom"/>
            <w:hideMark/>
          </w:tcPr>
          <w:p w14:paraId="73B2513B" w14:textId="2C085BAE"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cs="Arial"/>
                <w:b/>
                <w:bCs/>
                <w:color w:val="000000"/>
                <w:sz w:val="16"/>
                <w:szCs w:val="16"/>
              </w:rPr>
              <w:t> </w:t>
            </w:r>
          </w:p>
        </w:tc>
      </w:tr>
      <w:tr w:rsidR="007C756E" w:rsidRPr="0057086A" w14:paraId="38293807" w14:textId="77777777" w:rsidTr="007C756E">
        <w:trPr>
          <w:trHeight w:val="255"/>
        </w:trPr>
        <w:tc>
          <w:tcPr>
            <w:tcW w:w="763" w:type="pct"/>
            <w:vMerge/>
            <w:tcBorders>
              <w:top w:val="single" w:sz="8" w:space="0" w:color="auto"/>
              <w:left w:val="single" w:sz="8" w:space="0" w:color="auto"/>
              <w:bottom w:val="single" w:sz="8" w:space="0" w:color="000000"/>
              <w:right w:val="single" w:sz="4" w:space="0" w:color="auto"/>
            </w:tcBorders>
            <w:vAlign w:val="center"/>
            <w:hideMark/>
          </w:tcPr>
          <w:p w14:paraId="1C318E83" w14:textId="77777777" w:rsidR="007C756E" w:rsidRPr="0057086A" w:rsidRDefault="007C756E" w:rsidP="007C756E">
            <w:pPr>
              <w:spacing w:line="240" w:lineRule="auto"/>
              <w:rPr>
                <w:rFonts w:eastAsia="Times New Roman" w:cs="Arial"/>
                <w:spacing w:val="0"/>
                <w:sz w:val="16"/>
                <w:szCs w:val="16"/>
                <w:lang w:eastAsia="en-US"/>
              </w:rPr>
            </w:pPr>
          </w:p>
        </w:tc>
        <w:tc>
          <w:tcPr>
            <w:tcW w:w="749" w:type="pct"/>
            <w:tcBorders>
              <w:top w:val="nil"/>
              <w:left w:val="nil"/>
              <w:bottom w:val="single" w:sz="4" w:space="0" w:color="auto"/>
              <w:right w:val="single" w:sz="4" w:space="0" w:color="auto"/>
            </w:tcBorders>
            <w:shd w:val="clear" w:color="auto" w:fill="auto"/>
            <w:noWrap/>
            <w:vAlign w:val="bottom"/>
            <w:hideMark/>
          </w:tcPr>
          <w:p w14:paraId="343501C5"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63" w:type="pct"/>
            <w:tcBorders>
              <w:top w:val="nil"/>
              <w:left w:val="nil"/>
              <w:bottom w:val="single" w:sz="4" w:space="0" w:color="auto"/>
              <w:right w:val="single" w:sz="4" w:space="0" w:color="auto"/>
            </w:tcBorders>
            <w:shd w:val="clear" w:color="auto" w:fill="auto"/>
            <w:noWrap/>
            <w:vAlign w:val="bottom"/>
            <w:hideMark/>
          </w:tcPr>
          <w:p w14:paraId="7091B5A9"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4" w:space="0" w:color="auto"/>
              <w:right w:val="nil"/>
            </w:tcBorders>
            <w:shd w:val="clear" w:color="auto" w:fill="auto"/>
            <w:noWrap/>
            <w:hideMark/>
          </w:tcPr>
          <w:p w14:paraId="20F2FF18" w14:textId="0543FA53"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982D42">
              <w:rPr>
                <w:rFonts w:cs="Arial"/>
                <w:color w:val="000000"/>
                <w:sz w:val="16"/>
                <w:szCs w:val="16"/>
                <w:lang w:val="en-US"/>
              </w:rPr>
              <w:t>x,xx</w:t>
            </w:r>
            <w:proofErr w:type="spellEnd"/>
            <w:proofErr w:type="gramEnd"/>
          </w:p>
        </w:tc>
        <w:tc>
          <w:tcPr>
            <w:tcW w:w="414" w:type="pct"/>
            <w:tcBorders>
              <w:top w:val="nil"/>
              <w:left w:val="single" w:sz="4" w:space="0" w:color="auto"/>
              <w:bottom w:val="single" w:sz="4" w:space="0" w:color="auto"/>
              <w:right w:val="nil"/>
            </w:tcBorders>
            <w:shd w:val="clear" w:color="auto" w:fill="auto"/>
            <w:noWrap/>
            <w:hideMark/>
          </w:tcPr>
          <w:p w14:paraId="2531085F" w14:textId="46738B46"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982D42">
              <w:rPr>
                <w:rFonts w:cs="Arial"/>
                <w:color w:val="000000"/>
                <w:sz w:val="16"/>
                <w:szCs w:val="16"/>
                <w:lang w:val="en-US"/>
              </w:rPr>
              <w:t>x,xx</w:t>
            </w:r>
            <w:proofErr w:type="spellEnd"/>
            <w:proofErr w:type="gramEnd"/>
          </w:p>
        </w:tc>
        <w:tc>
          <w:tcPr>
            <w:tcW w:w="414" w:type="pct"/>
            <w:tcBorders>
              <w:top w:val="nil"/>
              <w:left w:val="single" w:sz="4" w:space="0" w:color="auto"/>
              <w:bottom w:val="single" w:sz="4" w:space="0" w:color="auto"/>
              <w:right w:val="nil"/>
            </w:tcBorders>
            <w:shd w:val="clear" w:color="auto" w:fill="auto"/>
            <w:noWrap/>
            <w:hideMark/>
          </w:tcPr>
          <w:p w14:paraId="651AF761" w14:textId="03C7C2E7"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982D42">
              <w:rPr>
                <w:rFonts w:cs="Arial"/>
                <w:color w:val="000000"/>
                <w:sz w:val="16"/>
                <w:szCs w:val="16"/>
                <w:lang w:val="en-US"/>
              </w:rPr>
              <w:t>x,xx</w:t>
            </w:r>
            <w:proofErr w:type="spellEnd"/>
            <w:proofErr w:type="gramEnd"/>
          </w:p>
        </w:tc>
        <w:tc>
          <w:tcPr>
            <w:tcW w:w="414" w:type="pct"/>
            <w:tcBorders>
              <w:top w:val="nil"/>
              <w:left w:val="single" w:sz="4" w:space="0" w:color="auto"/>
              <w:bottom w:val="single" w:sz="4" w:space="0" w:color="auto"/>
              <w:right w:val="nil"/>
            </w:tcBorders>
            <w:shd w:val="clear" w:color="auto" w:fill="auto"/>
            <w:noWrap/>
            <w:hideMark/>
          </w:tcPr>
          <w:p w14:paraId="56914065" w14:textId="5FEA6D88"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982D42">
              <w:rPr>
                <w:rFonts w:cs="Arial"/>
                <w:color w:val="000000"/>
                <w:sz w:val="16"/>
                <w:szCs w:val="16"/>
                <w:lang w:val="en-US"/>
              </w:rPr>
              <w:t>x,xx</w:t>
            </w:r>
            <w:proofErr w:type="spellEnd"/>
            <w:proofErr w:type="gramEnd"/>
          </w:p>
        </w:tc>
        <w:tc>
          <w:tcPr>
            <w:tcW w:w="414" w:type="pct"/>
            <w:tcBorders>
              <w:top w:val="nil"/>
              <w:left w:val="single" w:sz="4" w:space="0" w:color="auto"/>
              <w:bottom w:val="single" w:sz="4" w:space="0" w:color="auto"/>
              <w:right w:val="nil"/>
            </w:tcBorders>
            <w:shd w:val="clear" w:color="auto" w:fill="auto"/>
            <w:noWrap/>
            <w:hideMark/>
          </w:tcPr>
          <w:p w14:paraId="1D603BB5" w14:textId="668C5187"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982D42">
              <w:rPr>
                <w:rFonts w:cs="Arial"/>
                <w:color w:val="000000"/>
                <w:sz w:val="16"/>
                <w:szCs w:val="16"/>
                <w:lang w:val="en-US"/>
              </w:rPr>
              <w:t>x,xx</w:t>
            </w:r>
            <w:proofErr w:type="spellEnd"/>
            <w:proofErr w:type="gramEnd"/>
          </w:p>
        </w:tc>
        <w:tc>
          <w:tcPr>
            <w:tcW w:w="543" w:type="pct"/>
            <w:tcBorders>
              <w:top w:val="nil"/>
              <w:left w:val="single" w:sz="4" w:space="0" w:color="auto"/>
              <w:bottom w:val="single" w:sz="4" w:space="0" w:color="auto"/>
              <w:right w:val="single" w:sz="4" w:space="0" w:color="auto"/>
            </w:tcBorders>
            <w:shd w:val="clear" w:color="auto" w:fill="auto"/>
            <w:noWrap/>
            <w:vAlign w:val="bottom"/>
            <w:hideMark/>
          </w:tcPr>
          <w:p w14:paraId="0FDF6081" w14:textId="76DBD8A5"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0785EEDD" w14:textId="12DE8948" w:rsidR="007C756E" w:rsidRPr="007C756E" w:rsidRDefault="007C756E" w:rsidP="007C756E">
            <w:pPr>
              <w:spacing w:line="240" w:lineRule="auto"/>
              <w:jc w:val="right"/>
              <w:rPr>
                <w:rFonts w:eastAsia="Times New Roman" w:cs="Arial"/>
                <w:color w:val="000000"/>
                <w:spacing w:val="0"/>
                <w:sz w:val="16"/>
                <w:szCs w:val="16"/>
                <w:lang w:val="en-US" w:eastAsia="en-US"/>
              </w:rPr>
            </w:pPr>
            <w:r>
              <w:rPr>
                <w:rFonts w:cs="Arial"/>
                <w:color w:val="000000"/>
                <w:sz w:val="16"/>
                <w:szCs w:val="16"/>
                <w:lang w:val="en-US"/>
              </w:rPr>
              <w:t>xx xxx</w:t>
            </w:r>
          </w:p>
        </w:tc>
      </w:tr>
      <w:tr w:rsidR="007C756E" w:rsidRPr="0057086A" w14:paraId="031E46E9" w14:textId="77777777" w:rsidTr="007C756E">
        <w:trPr>
          <w:trHeight w:val="270"/>
        </w:trPr>
        <w:tc>
          <w:tcPr>
            <w:tcW w:w="763" w:type="pct"/>
            <w:vMerge/>
            <w:tcBorders>
              <w:top w:val="single" w:sz="8" w:space="0" w:color="auto"/>
              <w:left w:val="single" w:sz="8" w:space="0" w:color="auto"/>
              <w:bottom w:val="single" w:sz="8" w:space="0" w:color="000000"/>
              <w:right w:val="single" w:sz="4" w:space="0" w:color="auto"/>
            </w:tcBorders>
            <w:vAlign w:val="center"/>
            <w:hideMark/>
          </w:tcPr>
          <w:p w14:paraId="205730AC" w14:textId="77777777" w:rsidR="007C756E" w:rsidRPr="0057086A" w:rsidRDefault="007C756E" w:rsidP="007C756E">
            <w:pPr>
              <w:spacing w:line="240" w:lineRule="auto"/>
              <w:rPr>
                <w:rFonts w:eastAsia="Times New Roman" w:cs="Arial"/>
                <w:spacing w:val="0"/>
                <w:sz w:val="16"/>
                <w:szCs w:val="16"/>
                <w:lang w:eastAsia="en-US"/>
              </w:rPr>
            </w:pPr>
          </w:p>
        </w:tc>
        <w:tc>
          <w:tcPr>
            <w:tcW w:w="749" w:type="pct"/>
            <w:tcBorders>
              <w:top w:val="nil"/>
              <w:left w:val="nil"/>
              <w:bottom w:val="single" w:sz="8" w:space="0" w:color="auto"/>
              <w:right w:val="single" w:sz="4" w:space="0" w:color="auto"/>
            </w:tcBorders>
            <w:shd w:val="clear" w:color="auto" w:fill="auto"/>
            <w:noWrap/>
            <w:vAlign w:val="bottom"/>
            <w:hideMark/>
          </w:tcPr>
          <w:p w14:paraId="4BF2FEF1"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 xml:space="preserve">цена </w:t>
            </w:r>
            <w:proofErr w:type="spellStart"/>
            <w:r w:rsidRPr="0057086A">
              <w:rPr>
                <w:rFonts w:eastAsia="Times New Roman" w:cs="Arial"/>
                <w:color w:val="000000"/>
                <w:spacing w:val="0"/>
                <w:sz w:val="16"/>
                <w:szCs w:val="16"/>
                <w:lang w:eastAsia="en-US"/>
              </w:rPr>
              <w:t>инд.канал</w:t>
            </w:r>
            <w:proofErr w:type="spellEnd"/>
          </w:p>
        </w:tc>
        <w:tc>
          <w:tcPr>
            <w:tcW w:w="463" w:type="pct"/>
            <w:tcBorders>
              <w:top w:val="nil"/>
              <w:left w:val="nil"/>
              <w:bottom w:val="single" w:sz="8" w:space="0" w:color="auto"/>
              <w:right w:val="single" w:sz="4" w:space="0" w:color="auto"/>
            </w:tcBorders>
            <w:shd w:val="clear" w:color="auto" w:fill="auto"/>
            <w:noWrap/>
            <w:vAlign w:val="bottom"/>
            <w:hideMark/>
          </w:tcPr>
          <w:p w14:paraId="442B2FD4"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8" w:space="0" w:color="auto"/>
              <w:right w:val="nil"/>
            </w:tcBorders>
            <w:shd w:val="clear" w:color="auto" w:fill="auto"/>
            <w:noWrap/>
            <w:hideMark/>
          </w:tcPr>
          <w:p w14:paraId="47D6AE68" w14:textId="05B92B1E"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982D42">
              <w:rPr>
                <w:rFonts w:cs="Arial"/>
                <w:color w:val="000000"/>
                <w:sz w:val="16"/>
                <w:szCs w:val="16"/>
                <w:lang w:val="en-US"/>
              </w:rPr>
              <w:t>x,xx</w:t>
            </w:r>
            <w:proofErr w:type="spellEnd"/>
            <w:proofErr w:type="gramEnd"/>
          </w:p>
        </w:tc>
        <w:tc>
          <w:tcPr>
            <w:tcW w:w="414" w:type="pct"/>
            <w:tcBorders>
              <w:top w:val="nil"/>
              <w:left w:val="single" w:sz="4" w:space="0" w:color="auto"/>
              <w:bottom w:val="single" w:sz="8" w:space="0" w:color="auto"/>
              <w:right w:val="nil"/>
            </w:tcBorders>
            <w:shd w:val="clear" w:color="auto" w:fill="auto"/>
            <w:noWrap/>
            <w:hideMark/>
          </w:tcPr>
          <w:p w14:paraId="11EDB62F" w14:textId="3E6C8446"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982D42">
              <w:rPr>
                <w:rFonts w:cs="Arial"/>
                <w:color w:val="000000"/>
                <w:sz w:val="16"/>
                <w:szCs w:val="16"/>
                <w:lang w:val="en-US"/>
              </w:rPr>
              <w:t>x,xx</w:t>
            </w:r>
            <w:proofErr w:type="spellEnd"/>
            <w:proofErr w:type="gramEnd"/>
          </w:p>
        </w:tc>
        <w:tc>
          <w:tcPr>
            <w:tcW w:w="414" w:type="pct"/>
            <w:tcBorders>
              <w:top w:val="nil"/>
              <w:left w:val="single" w:sz="4" w:space="0" w:color="auto"/>
              <w:bottom w:val="single" w:sz="8" w:space="0" w:color="auto"/>
              <w:right w:val="nil"/>
            </w:tcBorders>
            <w:shd w:val="clear" w:color="auto" w:fill="auto"/>
            <w:noWrap/>
            <w:hideMark/>
          </w:tcPr>
          <w:p w14:paraId="6772D9DA" w14:textId="2EC8D15E"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982D42">
              <w:rPr>
                <w:rFonts w:cs="Arial"/>
                <w:color w:val="000000"/>
                <w:sz w:val="16"/>
                <w:szCs w:val="16"/>
                <w:lang w:val="en-US"/>
              </w:rPr>
              <w:t>x,xx</w:t>
            </w:r>
            <w:proofErr w:type="spellEnd"/>
            <w:proofErr w:type="gramEnd"/>
          </w:p>
        </w:tc>
        <w:tc>
          <w:tcPr>
            <w:tcW w:w="414" w:type="pct"/>
            <w:tcBorders>
              <w:top w:val="nil"/>
              <w:left w:val="single" w:sz="4" w:space="0" w:color="auto"/>
              <w:bottom w:val="single" w:sz="8" w:space="0" w:color="auto"/>
              <w:right w:val="nil"/>
            </w:tcBorders>
            <w:shd w:val="clear" w:color="auto" w:fill="auto"/>
            <w:noWrap/>
            <w:hideMark/>
          </w:tcPr>
          <w:p w14:paraId="3C1C638D" w14:textId="190BCB38"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982D42">
              <w:rPr>
                <w:rFonts w:cs="Arial"/>
                <w:color w:val="000000"/>
                <w:sz w:val="16"/>
                <w:szCs w:val="16"/>
                <w:lang w:val="en-US"/>
              </w:rPr>
              <w:t>x,xx</w:t>
            </w:r>
            <w:proofErr w:type="spellEnd"/>
            <w:proofErr w:type="gramEnd"/>
          </w:p>
        </w:tc>
        <w:tc>
          <w:tcPr>
            <w:tcW w:w="414" w:type="pct"/>
            <w:tcBorders>
              <w:top w:val="nil"/>
              <w:left w:val="single" w:sz="4" w:space="0" w:color="auto"/>
              <w:bottom w:val="single" w:sz="8" w:space="0" w:color="auto"/>
              <w:right w:val="nil"/>
            </w:tcBorders>
            <w:shd w:val="clear" w:color="auto" w:fill="auto"/>
            <w:noWrap/>
            <w:hideMark/>
          </w:tcPr>
          <w:p w14:paraId="2823EC85" w14:textId="6F874EB2"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982D42">
              <w:rPr>
                <w:rFonts w:cs="Arial"/>
                <w:color w:val="000000"/>
                <w:sz w:val="16"/>
                <w:szCs w:val="16"/>
                <w:lang w:val="en-US"/>
              </w:rPr>
              <w:t>x,xx</w:t>
            </w:r>
            <w:proofErr w:type="spellEnd"/>
            <w:proofErr w:type="gramEnd"/>
          </w:p>
        </w:tc>
        <w:tc>
          <w:tcPr>
            <w:tcW w:w="543" w:type="pct"/>
            <w:tcBorders>
              <w:top w:val="nil"/>
              <w:left w:val="single" w:sz="4" w:space="0" w:color="auto"/>
              <w:bottom w:val="single" w:sz="8" w:space="0" w:color="auto"/>
              <w:right w:val="single" w:sz="4" w:space="0" w:color="auto"/>
            </w:tcBorders>
            <w:shd w:val="clear" w:color="auto" w:fill="auto"/>
            <w:noWrap/>
            <w:vAlign w:val="bottom"/>
            <w:hideMark/>
          </w:tcPr>
          <w:p w14:paraId="05356B0F" w14:textId="5974D2D4"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single" w:sz="8" w:space="0" w:color="auto"/>
              <w:right w:val="single" w:sz="8" w:space="0" w:color="auto"/>
            </w:tcBorders>
            <w:shd w:val="clear" w:color="auto" w:fill="auto"/>
            <w:noWrap/>
            <w:vAlign w:val="bottom"/>
            <w:hideMark/>
          </w:tcPr>
          <w:p w14:paraId="6D58CF86" w14:textId="7F145B75" w:rsidR="007C756E" w:rsidRPr="00D83BCB" w:rsidRDefault="007C756E" w:rsidP="007C756E">
            <w:pPr>
              <w:spacing w:line="240" w:lineRule="auto"/>
              <w:jc w:val="right"/>
              <w:rPr>
                <w:rFonts w:eastAsia="Times New Roman" w:cs="Arial"/>
                <w:color w:val="000000"/>
                <w:spacing w:val="0"/>
                <w:sz w:val="16"/>
                <w:szCs w:val="16"/>
                <w:lang w:eastAsia="en-US"/>
              </w:rPr>
            </w:pPr>
            <w:r>
              <w:rPr>
                <w:rFonts w:cs="Arial"/>
                <w:color w:val="000000"/>
                <w:sz w:val="16"/>
                <w:szCs w:val="16"/>
                <w:lang w:val="en-US"/>
              </w:rPr>
              <w:t>xx xxx</w:t>
            </w:r>
          </w:p>
        </w:tc>
      </w:tr>
      <w:tr w:rsidR="007C756E" w:rsidRPr="0057086A" w14:paraId="236A81A8" w14:textId="77777777" w:rsidTr="007C756E">
        <w:trPr>
          <w:trHeight w:val="255"/>
        </w:trPr>
        <w:tc>
          <w:tcPr>
            <w:tcW w:w="763" w:type="pct"/>
            <w:vMerge w:val="restart"/>
            <w:tcBorders>
              <w:top w:val="nil"/>
              <w:left w:val="single" w:sz="8" w:space="0" w:color="auto"/>
              <w:bottom w:val="nil"/>
              <w:right w:val="single" w:sz="4" w:space="0" w:color="auto"/>
            </w:tcBorders>
            <w:shd w:val="clear" w:color="auto" w:fill="auto"/>
            <w:noWrap/>
            <w:vAlign w:val="center"/>
            <w:hideMark/>
          </w:tcPr>
          <w:p w14:paraId="3B931C9B"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ТЕЦ питейна вода</w:t>
            </w:r>
          </w:p>
        </w:tc>
        <w:tc>
          <w:tcPr>
            <w:tcW w:w="749" w:type="pct"/>
            <w:tcBorders>
              <w:top w:val="nil"/>
              <w:left w:val="nil"/>
              <w:bottom w:val="single" w:sz="4" w:space="0" w:color="auto"/>
              <w:right w:val="single" w:sz="4" w:space="0" w:color="auto"/>
            </w:tcBorders>
            <w:shd w:val="clear" w:color="auto" w:fill="auto"/>
            <w:noWrap/>
            <w:vAlign w:val="bottom"/>
            <w:hideMark/>
          </w:tcPr>
          <w:p w14:paraId="15BD367D"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63" w:type="pct"/>
            <w:tcBorders>
              <w:top w:val="nil"/>
              <w:left w:val="nil"/>
              <w:bottom w:val="single" w:sz="4" w:space="0" w:color="auto"/>
              <w:right w:val="single" w:sz="4" w:space="0" w:color="auto"/>
            </w:tcBorders>
            <w:shd w:val="clear" w:color="auto" w:fill="auto"/>
            <w:noWrap/>
            <w:vAlign w:val="bottom"/>
            <w:hideMark/>
          </w:tcPr>
          <w:p w14:paraId="16E00B2A"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14" w:type="pct"/>
            <w:tcBorders>
              <w:top w:val="nil"/>
              <w:left w:val="single" w:sz="4" w:space="0" w:color="auto"/>
              <w:bottom w:val="single" w:sz="4" w:space="0" w:color="auto"/>
              <w:right w:val="single" w:sz="4" w:space="0" w:color="auto"/>
            </w:tcBorders>
            <w:shd w:val="clear" w:color="000000" w:fill="FFFFFF"/>
            <w:noWrap/>
            <w:hideMark/>
          </w:tcPr>
          <w:p w14:paraId="2C19151D" w14:textId="7454692A" w:rsidR="007C756E" w:rsidRPr="0057086A" w:rsidRDefault="007C756E" w:rsidP="007C756E">
            <w:pPr>
              <w:spacing w:line="240" w:lineRule="auto"/>
              <w:jc w:val="right"/>
              <w:rPr>
                <w:rFonts w:eastAsia="Times New Roman" w:cs="Arial"/>
                <w:b/>
                <w:bCs/>
                <w:color w:val="000000"/>
                <w:spacing w:val="0"/>
                <w:sz w:val="16"/>
                <w:szCs w:val="16"/>
                <w:lang w:eastAsia="en-US"/>
              </w:rPr>
            </w:pPr>
            <w:r w:rsidRPr="00927894">
              <w:rPr>
                <w:b/>
                <w:bCs/>
              </w:rPr>
              <w:t>x xxx</w:t>
            </w:r>
          </w:p>
        </w:tc>
        <w:tc>
          <w:tcPr>
            <w:tcW w:w="414" w:type="pct"/>
            <w:tcBorders>
              <w:top w:val="nil"/>
              <w:left w:val="nil"/>
              <w:bottom w:val="single" w:sz="4" w:space="0" w:color="auto"/>
              <w:right w:val="single" w:sz="4" w:space="0" w:color="auto"/>
            </w:tcBorders>
            <w:shd w:val="clear" w:color="000000" w:fill="FFFFFF"/>
            <w:noWrap/>
            <w:hideMark/>
          </w:tcPr>
          <w:p w14:paraId="594BBE9E" w14:textId="4B846268" w:rsidR="007C756E" w:rsidRPr="0057086A" w:rsidRDefault="007C756E" w:rsidP="007C756E">
            <w:pPr>
              <w:spacing w:line="240" w:lineRule="auto"/>
              <w:jc w:val="right"/>
              <w:rPr>
                <w:rFonts w:eastAsia="Times New Roman" w:cs="Arial"/>
                <w:b/>
                <w:bCs/>
                <w:color w:val="000000"/>
                <w:spacing w:val="0"/>
                <w:sz w:val="16"/>
                <w:szCs w:val="16"/>
                <w:lang w:eastAsia="en-US"/>
              </w:rPr>
            </w:pPr>
            <w:r w:rsidRPr="00927894">
              <w:rPr>
                <w:b/>
                <w:bCs/>
              </w:rPr>
              <w:t>x xxx</w:t>
            </w:r>
          </w:p>
        </w:tc>
        <w:tc>
          <w:tcPr>
            <w:tcW w:w="414" w:type="pct"/>
            <w:tcBorders>
              <w:top w:val="nil"/>
              <w:left w:val="nil"/>
              <w:bottom w:val="single" w:sz="4" w:space="0" w:color="auto"/>
              <w:right w:val="single" w:sz="4" w:space="0" w:color="auto"/>
            </w:tcBorders>
            <w:shd w:val="clear" w:color="000000" w:fill="FFFFFF"/>
            <w:noWrap/>
            <w:hideMark/>
          </w:tcPr>
          <w:p w14:paraId="49DC9F5F" w14:textId="52A285E8" w:rsidR="007C756E" w:rsidRPr="0057086A" w:rsidRDefault="007C756E" w:rsidP="007C756E">
            <w:pPr>
              <w:spacing w:line="240" w:lineRule="auto"/>
              <w:jc w:val="right"/>
              <w:rPr>
                <w:rFonts w:eastAsia="Times New Roman" w:cs="Arial"/>
                <w:b/>
                <w:bCs/>
                <w:color w:val="000000"/>
                <w:spacing w:val="0"/>
                <w:sz w:val="16"/>
                <w:szCs w:val="16"/>
                <w:lang w:eastAsia="en-US"/>
              </w:rPr>
            </w:pPr>
            <w:r w:rsidRPr="00927894">
              <w:rPr>
                <w:b/>
                <w:bCs/>
              </w:rPr>
              <w:t>x xxx</w:t>
            </w:r>
          </w:p>
        </w:tc>
        <w:tc>
          <w:tcPr>
            <w:tcW w:w="414" w:type="pct"/>
            <w:tcBorders>
              <w:top w:val="nil"/>
              <w:left w:val="nil"/>
              <w:bottom w:val="single" w:sz="4" w:space="0" w:color="auto"/>
              <w:right w:val="nil"/>
            </w:tcBorders>
            <w:shd w:val="clear" w:color="000000" w:fill="FFFFFF"/>
            <w:noWrap/>
            <w:hideMark/>
          </w:tcPr>
          <w:p w14:paraId="2FDACF89" w14:textId="26ED9ACE" w:rsidR="007C756E" w:rsidRPr="0057086A" w:rsidRDefault="007C756E" w:rsidP="007C756E">
            <w:pPr>
              <w:spacing w:line="240" w:lineRule="auto"/>
              <w:jc w:val="right"/>
              <w:rPr>
                <w:rFonts w:eastAsia="Times New Roman" w:cs="Arial"/>
                <w:b/>
                <w:bCs/>
                <w:color w:val="000000"/>
                <w:spacing w:val="0"/>
                <w:sz w:val="16"/>
                <w:szCs w:val="16"/>
                <w:lang w:eastAsia="en-US"/>
              </w:rPr>
            </w:pPr>
            <w:r w:rsidRPr="00927894">
              <w:rPr>
                <w:b/>
                <w:bCs/>
              </w:rPr>
              <w:t>x xxx</w:t>
            </w:r>
          </w:p>
        </w:tc>
        <w:tc>
          <w:tcPr>
            <w:tcW w:w="414" w:type="pct"/>
            <w:tcBorders>
              <w:top w:val="nil"/>
              <w:left w:val="single" w:sz="4" w:space="0" w:color="auto"/>
              <w:bottom w:val="single" w:sz="4" w:space="0" w:color="auto"/>
              <w:right w:val="nil"/>
            </w:tcBorders>
            <w:shd w:val="clear" w:color="000000" w:fill="FFFFFF"/>
            <w:noWrap/>
            <w:hideMark/>
          </w:tcPr>
          <w:p w14:paraId="7858944E" w14:textId="5542C6EE" w:rsidR="007C756E" w:rsidRPr="0057086A" w:rsidRDefault="007C756E" w:rsidP="007C756E">
            <w:pPr>
              <w:spacing w:line="240" w:lineRule="auto"/>
              <w:jc w:val="right"/>
              <w:rPr>
                <w:rFonts w:eastAsia="Times New Roman" w:cs="Arial"/>
                <w:b/>
                <w:bCs/>
                <w:color w:val="000000"/>
                <w:spacing w:val="0"/>
                <w:sz w:val="16"/>
                <w:szCs w:val="16"/>
                <w:lang w:eastAsia="en-US"/>
              </w:rPr>
            </w:pPr>
            <w:r w:rsidRPr="00927894">
              <w:rPr>
                <w:b/>
                <w:bCs/>
              </w:rPr>
              <w:t>x xxx</w:t>
            </w:r>
          </w:p>
        </w:tc>
        <w:tc>
          <w:tcPr>
            <w:tcW w:w="543" w:type="pct"/>
            <w:tcBorders>
              <w:top w:val="nil"/>
              <w:left w:val="single" w:sz="4" w:space="0" w:color="auto"/>
              <w:bottom w:val="single" w:sz="4" w:space="0" w:color="auto"/>
              <w:right w:val="single" w:sz="4" w:space="0" w:color="auto"/>
            </w:tcBorders>
            <w:shd w:val="clear" w:color="auto" w:fill="auto"/>
            <w:noWrap/>
            <w:vAlign w:val="bottom"/>
            <w:hideMark/>
          </w:tcPr>
          <w:p w14:paraId="793E76DC" w14:textId="303E1753" w:rsidR="007C756E" w:rsidRPr="007C756E" w:rsidRDefault="007C756E" w:rsidP="007C756E">
            <w:pPr>
              <w:spacing w:line="240" w:lineRule="auto"/>
              <w:jc w:val="right"/>
              <w:rPr>
                <w:rFonts w:eastAsia="Times New Roman" w:cs="Arial"/>
                <w:b/>
                <w:bCs/>
                <w:color w:val="000000"/>
                <w:spacing w:val="0"/>
                <w:sz w:val="16"/>
                <w:szCs w:val="16"/>
                <w:lang w:val="en-US" w:eastAsia="en-US"/>
              </w:rPr>
            </w:pPr>
            <w:r>
              <w:rPr>
                <w:rFonts w:eastAsia="Times New Roman" w:cs="Arial"/>
                <w:b/>
                <w:bCs/>
                <w:color w:val="000000"/>
                <w:spacing w:val="0"/>
                <w:sz w:val="16"/>
                <w:szCs w:val="16"/>
                <w:lang w:val="en-US" w:eastAsia="en-US"/>
              </w:rPr>
              <w:t>xx xxx</w:t>
            </w:r>
          </w:p>
        </w:tc>
        <w:tc>
          <w:tcPr>
            <w:tcW w:w="413" w:type="pct"/>
            <w:tcBorders>
              <w:top w:val="nil"/>
              <w:left w:val="single" w:sz="4" w:space="0" w:color="auto"/>
              <w:bottom w:val="single" w:sz="4" w:space="0" w:color="auto"/>
              <w:right w:val="single" w:sz="8" w:space="0" w:color="auto"/>
            </w:tcBorders>
            <w:shd w:val="clear" w:color="auto" w:fill="auto"/>
            <w:noWrap/>
            <w:vAlign w:val="bottom"/>
            <w:hideMark/>
          </w:tcPr>
          <w:p w14:paraId="6C62BFF1" w14:textId="39D7A923" w:rsidR="007C756E" w:rsidRPr="00D83BCB" w:rsidRDefault="007C756E" w:rsidP="007C756E">
            <w:pPr>
              <w:spacing w:line="240" w:lineRule="auto"/>
              <w:rPr>
                <w:rFonts w:eastAsia="Times New Roman" w:cs="Arial"/>
                <w:b/>
                <w:bCs/>
                <w:color w:val="000000"/>
                <w:spacing w:val="0"/>
                <w:sz w:val="16"/>
                <w:szCs w:val="16"/>
                <w:lang w:eastAsia="en-US"/>
              </w:rPr>
            </w:pPr>
            <w:r w:rsidRPr="00D83BCB">
              <w:rPr>
                <w:rFonts w:cs="Arial"/>
                <w:b/>
                <w:bCs/>
                <w:color w:val="000000"/>
                <w:sz w:val="16"/>
                <w:szCs w:val="16"/>
              </w:rPr>
              <w:t> </w:t>
            </w:r>
          </w:p>
        </w:tc>
      </w:tr>
      <w:tr w:rsidR="007C756E" w:rsidRPr="0057086A" w14:paraId="4B29DB0F" w14:textId="77777777" w:rsidTr="007C756E">
        <w:trPr>
          <w:trHeight w:val="255"/>
        </w:trPr>
        <w:tc>
          <w:tcPr>
            <w:tcW w:w="763" w:type="pct"/>
            <w:vMerge/>
            <w:tcBorders>
              <w:top w:val="nil"/>
              <w:left w:val="single" w:sz="8" w:space="0" w:color="auto"/>
              <w:bottom w:val="nil"/>
              <w:right w:val="single" w:sz="4" w:space="0" w:color="auto"/>
            </w:tcBorders>
            <w:vAlign w:val="center"/>
            <w:hideMark/>
          </w:tcPr>
          <w:p w14:paraId="47FCBC4F"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49" w:type="pct"/>
            <w:tcBorders>
              <w:top w:val="nil"/>
              <w:left w:val="nil"/>
              <w:bottom w:val="single" w:sz="4" w:space="0" w:color="auto"/>
              <w:right w:val="single" w:sz="4" w:space="0" w:color="auto"/>
            </w:tcBorders>
            <w:shd w:val="clear" w:color="auto" w:fill="auto"/>
            <w:noWrap/>
            <w:vAlign w:val="bottom"/>
            <w:hideMark/>
          </w:tcPr>
          <w:p w14:paraId="45D0F7F8"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63" w:type="pct"/>
            <w:tcBorders>
              <w:top w:val="nil"/>
              <w:left w:val="nil"/>
              <w:bottom w:val="single" w:sz="4" w:space="0" w:color="auto"/>
              <w:right w:val="single" w:sz="4" w:space="0" w:color="auto"/>
            </w:tcBorders>
            <w:shd w:val="clear" w:color="auto" w:fill="auto"/>
            <w:noWrap/>
            <w:vAlign w:val="bottom"/>
            <w:hideMark/>
          </w:tcPr>
          <w:p w14:paraId="7CC5B3B1"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4" w:space="0" w:color="auto"/>
              <w:right w:val="single" w:sz="4" w:space="0" w:color="auto"/>
            </w:tcBorders>
            <w:shd w:val="clear" w:color="auto" w:fill="auto"/>
            <w:noWrap/>
            <w:hideMark/>
          </w:tcPr>
          <w:p w14:paraId="478B7BE5" w14:textId="12F973EF"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4D1CDDED" w14:textId="1706BA7E"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677AAFDA" w14:textId="12B556DD"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68B92778" w14:textId="75CC5145"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222C084D" w14:textId="68EC7E90"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543" w:type="pct"/>
            <w:tcBorders>
              <w:top w:val="nil"/>
              <w:left w:val="single" w:sz="4" w:space="0" w:color="auto"/>
              <w:bottom w:val="single" w:sz="4" w:space="0" w:color="auto"/>
              <w:right w:val="single" w:sz="4" w:space="0" w:color="auto"/>
            </w:tcBorders>
            <w:shd w:val="clear" w:color="auto" w:fill="auto"/>
            <w:noWrap/>
            <w:vAlign w:val="bottom"/>
            <w:hideMark/>
          </w:tcPr>
          <w:p w14:paraId="0E47466C" w14:textId="27142F41"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single" w:sz="4" w:space="0" w:color="auto"/>
              <w:right w:val="single" w:sz="8" w:space="0" w:color="auto"/>
            </w:tcBorders>
            <w:shd w:val="clear" w:color="auto" w:fill="auto"/>
            <w:noWrap/>
            <w:vAlign w:val="bottom"/>
            <w:hideMark/>
          </w:tcPr>
          <w:p w14:paraId="5F65458B" w14:textId="31CA7ECB" w:rsidR="007C756E" w:rsidRPr="00D83BCB" w:rsidRDefault="007C756E" w:rsidP="007C756E">
            <w:pPr>
              <w:spacing w:line="240" w:lineRule="auto"/>
              <w:jc w:val="right"/>
              <w:rPr>
                <w:rFonts w:eastAsia="Times New Roman" w:cs="Arial"/>
                <w:color w:val="000000"/>
                <w:spacing w:val="0"/>
                <w:sz w:val="16"/>
                <w:szCs w:val="16"/>
                <w:lang w:eastAsia="en-US"/>
              </w:rPr>
            </w:pPr>
            <w:r>
              <w:rPr>
                <w:rFonts w:cs="Arial"/>
                <w:color w:val="000000"/>
                <w:sz w:val="16"/>
                <w:szCs w:val="16"/>
                <w:lang w:val="en-US"/>
              </w:rPr>
              <w:t>xx xxx</w:t>
            </w:r>
          </w:p>
        </w:tc>
      </w:tr>
      <w:tr w:rsidR="007C756E" w:rsidRPr="0057086A" w14:paraId="70FD9E51" w14:textId="77777777" w:rsidTr="007C756E">
        <w:trPr>
          <w:trHeight w:val="255"/>
        </w:trPr>
        <w:tc>
          <w:tcPr>
            <w:tcW w:w="763" w:type="pct"/>
            <w:vMerge/>
            <w:tcBorders>
              <w:top w:val="nil"/>
              <w:left w:val="single" w:sz="8" w:space="0" w:color="auto"/>
              <w:bottom w:val="nil"/>
              <w:right w:val="single" w:sz="4" w:space="0" w:color="auto"/>
            </w:tcBorders>
            <w:vAlign w:val="center"/>
            <w:hideMark/>
          </w:tcPr>
          <w:p w14:paraId="1FC5A811"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49" w:type="pct"/>
            <w:tcBorders>
              <w:top w:val="nil"/>
              <w:left w:val="nil"/>
              <w:bottom w:val="single" w:sz="4" w:space="0" w:color="auto"/>
              <w:right w:val="single" w:sz="4" w:space="0" w:color="auto"/>
            </w:tcBorders>
            <w:shd w:val="clear" w:color="auto" w:fill="auto"/>
            <w:noWrap/>
            <w:vAlign w:val="bottom"/>
            <w:hideMark/>
          </w:tcPr>
          <w:p w14:paraId="7CCD50F0"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63" w:type="pct"/>
            <w:tcBorders>
              <w:top w:val="nil"/>
              <w:left w:val="nil"/>
              <w:bottom w:val="single" w:sz="4" w:space="0" w:color="auto"/>
              <w:right w:val="single" w:sz="4" w:space="0" w:color="auto"/>
            </w:tcBorders>
            <w:shd w:val="clear" w:color="auto" w:fill="auto"/>
            <w:noWrap/>
            <w:vAlign w:val="bottom"/>
            <w:hideMark/>
          </w:tcPr>
          <w:p w14:paraId="6BA7134D"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4" w:space="0" w:color="auto"/>
              <w:right w:val="single" w:sz="4" w:space="0" w:color="auto"/>
            </w:tcBorders>
            <w:shd w:val="clear" w:color="auto" w:fill="auto"/>
            <w:noWrap/>
            <w:hideMark/>
          </w:tcPr>
          <w:p w14:paraId="039C6497" w14:textId="0AD948BF"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21CBB2D3" w14:textId="767B7D1A"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1E980473" w14:textId="05BB9A99"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48EF614E" w14:textId="2A1106B7"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2274C9A6" w14:textId="14605702"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543" w:type="pct"/>
            <w:tcBorders>
              <w:top w:val="nil"/>
              <w:left w:val="single" w:sz="4" w:space="0" w:color="auto"/>
              <w:bottom w:val="single" w:sz="4" w:space="0" w:color="auto"/>
              <w:right w:val="single" w:sz="4" w:space="0" w:color="auto"/>
            </w:tcBorders>
            <w:shd w:val="clear" w:color="auto" w:fill="auto"/>
            <w:noWrap/>
            <w:vAlign w:val="bottom"/>
            <w:hideMark/>
          </w:tcPr>
          <w:p w14:paraId="7568B6C0" w14:textId="6E74ED6C"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single" w:sz="4" w:space="0" w:color="auto"/>
              <w:right w:val="single" w:sz="8" w:space="0" w:color="auto"/>
            </w:tcBorders>
            <w:shd w:val="clear" w:color="auto" w:fill="auto"/>
            <w:noWrap/>
            <w:vAlign w:val="bottom"/>
            <w:hideMark/>
          </w:tcPr>
          <w:p w14:paraId="4D37CE99" w14:textId="16A1F2EB" w:rsidR="007C756E" w:rsidRPr="007C756E" w:rsidRDefault="007C756E" w:rsidP="007C756E">
            <w:pPr>
              <w:spacing w:line="240" w:lineRule="auto"/>
              <w:jc w:val="right"/>
              <w:rPr>
                <w:rFonts w:eastAsia="Times New Roman" w:cs="Arial"/>
                <w:color w:val="000000"/>
                <w:spacing w:val="0"/>
                <w:sz w:val="16"/>
                <w:szCs w:val="16"/>
                <w:lang w:val="en-US" w:eastAsia="en-US"/>
              </w:rPr>
            </w:pPr>
            <w:r>
              <w:rPr>
                <w:rFonts w:cs="Arial"/>
                <w:color w:val="000000"/>
                <w:sz w:val="16"/>
                <w:szCs w:val="16"/>
                <w:lang w:val="en-US"/>
              </w:rPr>
              <w:t>x xxx</w:t>
            </w:r>
          </w:p>
        </w:tc>
      </w:tr>
      <w:tr w:rsidR="007C756E" w:rsidRPr="0057086A" w14:paraId="610C4B03" w14:textId="77777777" w:rsidTr="007C756E">
        <w:trPr>
          <w:trHeight w:val="270"/>
        </w:trPr>
        <w:tc>
          <w:tcPr>
            <w:tcW w:w="763" w:type="pct"/>
            <w:vMerge/>
            <w:tcBorders>
              <w:top w:val="nil"/>
              <w:left w:val="single" w:sz="8" w:space="0" w:color="auto"/>
              <w:bottom w:val="nil"/>
              <w:right w:val="single" w:sz="4" w:space="0" w:color="auto"/>
            </w:tcBorders>
            <w:vAlign w:val="center"/>
            <w:hideMark/>
          </w:tcPr>
          <w:p w14:paraId="4CAF885B"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49" w:type="pct"/>
            <w:tcBorders>
              <w:top w:val="nil"/>
              <w:left w:val="nil"/>
              <w:bottom w:val="nil"/>
              <w:right w:val="single" w:sz="4" w:space="0" w:color="auto"/>
            </w:tcBorders>
            <w:shd w:val="clear" w:color="auto" w:fill="auto"/>
            <w:noWrap/>
            <w:vAlign w:val="bottom"/>
            <w:hideMark/>
          </w:tcPr>
          <w:p w14:paraId="050ED983"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63" w:type="pct"/>
            <w:tcBorders>
              <w:top w:val="nil"/>
              <w:left w:val="nil"/>
              <w:bottom w:val="nil"/>
              <w:right w:val="single" w:sz="4" w:space="0" w:color="auto"/>
            </w:tcBorders>
            <w:shd w:val="clear" w:color="auto" w:fill="auto"/>
            <w:noWrap/>
            <w:vAlign w:val="bottom"/>
            <w:hideMark/>
          </w:tcPr>
          <w:p w14:paraId="25BB30E3"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nil"/>
              <w:right w:val="single" w:sz="4" w:space="0" w:color="auto"/>
            </w:tcBorders>
            <w:shd w:val="clear" w:color="auto" w:fill="auto"/>
            <w:noWrap/>
            <w:hideMark/>
          </w:tcPr>
          <w:p w14:paraId="194F3415" w14:textId="4060B60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nil"/>
              <w:right w:val="single" w:sz="4" w:space="0" w:color="auto"/>
            </w:tcBorders>
            <w:shd w:val="clear" w:color="auto" w:fill="auto"/>
            <w:noWrap/>
            <w:hideMark/>
          </w:tcPr>
          <w:p w14:paraId="0E8DC546" w14:textId="6551A166"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nil"/>
              <w:right w:val="single" w:sz="4" w:space="0" w:color="auto"/>
            </w:tcBorders>
            <w:shd w:val="clear" w:color="auto" w:fill="auto"/>
            <w:noWrap/>
            <w:hideMark/>
          </w:tcPr>
          <w:p w14:paraId="6FD5D862" w14:textId="27CD7928"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nil"/>
              <w:right w:val="single" w:sz="4" w:space="0" w:color="auto"/>
            </w:tcBorders>
            <w:shd w:val="clear" w:color="auto" w:fill="auto"/>
            <w:noWrap/>
            <w:hideMark/>
          </w:tcPr>
          <w:p w14:paraId="79DB0C27" w14:textId="05C4E125"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414" w:type="pct"/>
            <w:tcBorders>
              <w:top w:val="nil"/>
              <w:left w:val="nil"/>
              <w:bottom w:val="nil"/>
              <w:right w:val="single" w:sz="4" w:space="0" w:color="auto"/>
            </w:tcBorders>
            <w:shd w:val="clear" w:color="auto" w:fill="auto"/>
            <w:noWrap/>
            <w:hideMark/>
          </w:tcPr>
          <w:p w14:paraId="636E2B61" w14:textId="68368E55"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7255C">
              <w:rPr>
                <w:rFonts w:cs="Arial"/>
                <w:color w:val="000000"/>
                <w:sz w:val="16"/>
                <w:szCs w:val="16"/>
                <w:lang w:val="en-US"/>
              </w:rPr>
              <w:t>x,xx</w:t>
            </w:r>
            <w:proofErr w:type="spellEnd"/>
            <w:proofErr w:type="gramEnd"/>
          </w:p>
        </w:tc>
        <w:tc>
          <w:tcPr>
            <w:tcW w:w="543" w:type="pct"/>
            <w:tcBorders>
              <w:top w:val="nil"/>
              <w:left w:val="single" w:sz="4" w:space="0" w:color="auto"/>
              <w:bottom w:val="nil"/>
              <w:right w:val="single" w:sz="4" w:space="0" w:color="auto"/>
            </w:tcBorders>
            <w:shd w:val="clear" w:color="auto" w:fill="auto"/>
            <w:noWrap/>
            <w:vAlign w:val="bottom"/>
            <w:hideMark/>
          </w:tcPr>
          <w:p w14:paraId="148301C8" w14:textId="24C178C1"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nil"/>
              <w:right w:val="single" w:sz="8" w:space="0" w:color="auto"/>
            </w:tcBorders>
            <w:shd w:val="clear" w:color="auto" w:fill="auto"/>
            <w:noWrap/>
            <w:vAlign w:val="bottom"/>
            <w:hideMark/>
          </w:tcPr>
          <w:p w14:paraId="00E80B75" w14:textId="7DDD3984" w:rsidR="007C756E" w:rsidRPr="00D83BCB" w:rsidRDefault="007C756E" w:rsidP="007C756E">
            <w:pPr>
              <w:spacing w:line="240" w:lineRule="auto"/>
              <w:jc w:val="right"/>
              <w:rPr>
                <w:rFonts w:eastAsia="Times New Roman" w:cs="Arial"/>
                <w:color w:val="000000"/>
                <w:spacing w:val="0"/>
                <w:sz w:val="16"/>
                <w:szCs w:val="16"/>
                <w:lang w:eastAsia="en-US"/>
              </w:rPr>
            </w:pPr>
            <w:r>
              <w:rPr>
                <w:rFonts w:cs="Arial"/>
                <w:color w:val="000000"/>
                <w:sz w:val="16"/>
                <w:szCs w:val="16"/>
                <w:lang w:val="en-US"/>
              </w:rPr>
              <w:t>xx xxx</w:t>
            </w:r>
          </w:p>
        </w:tc>
      </w:tr>
      <w:tr w:rsidR="007C756E" w:rsidRPr="0057086A" w14:paraId="6F7690A8" w14:textId="77777777" w:rsidTr="007C756E">
        <w:trPr>
          <w:trHeight w:val="255"/>
        </w:trPr>
        <w:tc>
          <w:tcPr>
            <w:tcW w:w="763" w:type="pct"/>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2FA6A52F"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ОЦ производство</w:t>
            </w:r>
          </w:p>
        </w:tc>
        <w:tc>
          <w:tcPr>
            <w:tcW w:w="749" w:type="pct"/>
            <w:tcBorders>
              <w:top w:val="single" w:sz="8" w:space="0" w:color="auto"/>
              <w:left w:val="nil"/>
              <w:bottom w:val="single" w:sz="4" w:space="0" w:color="auto"/>
              <w:right w:val="single" w:sz="4" w:space="0" w:color="auto"/>
            </w:tcBorders>
            <w:shd w:val="clear" w:color="auto" w:fill="auto"/>
            <w:noWrap/>
            <w:vAlign w:val="bottom"/>
            <w:hideMark/>
          </w:tcPr>
          <w:p w14:paraId="271BBB04"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63" w:type="pct"/>
            <w:tcBorders>
              <w:top w:val="single" w:sz="8" w:space="0" w:color="auto"/>
              <w:left w:val="nil"/>
              <w:bottom w:val="single" w:sz="4" w:space="0" w:color="auto"/>
              <w:right w:val="single" w:sz="4" w:space="0" w:color="auto"/>
            </w:tcBorders>
            <w:shd w:val="clear" w:color="auto" w:fill="auto"/>
            <w:noWrap/>
            <w:vAlign w:val="bottom"/>
            <w:hideMark/>
          </w:tcPr>
          <w:p w14:paraId="6DE2521B"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14" w:type="pct"/>
            <w:tcBorders>
              <w:top w:val="single" w:sz="8" w:space="0" w:color="auto"/>
              <w:left w:val="single" w:sz="4" w:space="0" w:color="auto"/>
              <w:bottom w:val="single" w:sz="4" w:space="0" w:color="auto"/>
              <w:right w:val="nil"/>
            </w:tcBorders>
            <w:shd w:val="clear" w:color="000000" w:fill="FFFFFF"/>
            <w:noWrap/>
            <w:hideMark/>
          </w:tcPr>
          <w:p w14:paraId="1E74C4DB" w14:textId="70B9A230" w:rsidR="007C756E" w:rsidRPr="0057086A" w:rsidRDefault="007C756E" w:rsidP="007C756E">
            <w:pPr>
              <w:spacing w:line="240" w:lineRule="auto"/>
              <w:jc w:val="right"/>
              <w:rPr>
                <w:rFonts w:eastAsia="Times New Roman" w:cs="Arial"/>
                <w:b/>
                <w:bCs/>
                <w:spacing w:val="0"/>
                <w:sz w:val="16"/>
                <w:szCs w:val="16"/>
                <w:lang w:eastAsia="en-US"/>
              </w:rPr>
            </w:pPr>
            <w:r w:rsidRPr="00253D6B">
              <w:rPr>
                <w:b/>
                <w:bCs/>
              </w:rPr>
              <w:t>x xxx</w:t>
            </w:r>
          </w:p>
        </w:tc>
        <w:tc>
          <w:tcPr>
            <w:tcW w:w="414" w:type="pct"/>
            <w:tcBorders>
              <w:top w:val="single" w:sz="8" w:space="0" w:color="auto"/>
              <w:left w:val="single" w:sz="4" w:space="0" w:color="auto"/>
              <w:bottom w:val="single" w:sz="4" w:space="0" w:color="auto"/>
              <w:right w:val="nil"/>
            </w:tcBorders>
            <w:shd w:val="clear" w:color="000000" w:fill="FFFFFF"/>
            <w:noWrap/>
            <w:hideMark/>
          </w:tcPr>
          <w:p w14:paraId="00B0C088" w14:textId="5C57ED1E" w:rsidR="007C756E" w:rsidRPr="0057086A" w:rsidRDefault="007C756E" w:rsidP="007C756E">
            <w:pPr>
              <w:spacing w:line="240" w:lineRule="auto"/>
              <w:jc w:val="right"/>
              <w:rPr>
                <w:rFonts w:eastAsia="Times New Roman" w:cs="Arial"/>
                <w:b/>
                <w:bCs/>
                <w:spacing w:val="0"/>
                <w:sz w:val="16"/>
                <w:szCs w:val="16"/>
                <w:lang w:eastAsia="en-US"/>
              </w:rPr>
            </w:pPr>
            <w:r w:rsidRPr="00253D6B">
              <w:rPr>
                <w:b/>
                <w:bCs/>
              </w:rPr>
              <w:t>x xxx</w:t>
            </w:r>
          </w:p>
        </w:tc>
        <w:tc>
          <w:tcPr>
            <w:tcW w:w="414" w:type="pct"/>
            <w:tcBorders>
              <w:top w:val="single" w:sz="8" w:space="0" w:color="auto"/>
              <w:left w:val="single" w:sz="4" w:space="0" w:color="auto"/>
              <w:bottom w:val="single" w:sz="4" w:space="0" w:color="auto"/>
              <w:right w:val="nil"/>
            </w:tcBorders>
            <w:shd w:val="clear" w:color="000000" w:fill="FFFFFF"/>
            <w:noWrap/>
            <w:hideMark/>
          </w:tcPr>
          <w:p w14:paraId="17D6D303" w14:textId="7BEBD8FD" w:rsidR="007C756E" w:rsidRPr="0057086A" w:rsidRDefault="007C756E" w:rsidP="007C756E">
            <w:pPr>
              <w:spacing w:line="240" w:lineRule="auto"/>
              <w:jc w:val="right"/>
              <w:rPr>
                <w:rFonts w:eastAsia="Times New Roman" w:cs="Arial"/>
                <w:b/>
                <w:bCs/>
                <w:spacing w:val="0"/>
                <w:sz w:val="16"/>
                <w:szCs w:val="16"/>
                <w:lang w:eastAsia="en-US"/>
              </w:rPr>
            </w:pPr>
            <w:r w:rsidRPr="003C0B7E">
              <w:rPr>
                <w:rFonts w:cs="Arial"/>
                <w:b/>
                <w:bCs/>
                <w:color w:val="000000"/>
                <w:sz w:val="16"/>
                <w:szCs w:val="16"/>
                <w:lang w:val="en-US"/>
              </w:rPr>
              <w:t>xxx</w:t>
            </w:r>
          </w:p>
        </w:tc>
        <w:tc>
          <w:tcPr>
            <w:tcW w:w="414" w:type="pct"/>
            <w:tcBorders>
              <w:top w:val="single" w:sz="8" w:space="0" w:color="auto"/>
              <w:left w:val="single" w:sz="4" w:space="0" w:color="auto"/>
              <w:bottom w:val="single" w:sz="4" w:space="0" w:color="auto"/>
              <w:right w:val="nil"/>
            </w:tcBorders>
            <w:shd w:val="clear" w:color="000000" w:fill="FFFFFF"/>
            <w:noWrap/>
            <w:hideMark/>
          </w:tcPr>
          <w:p w14:paraId="2769D702" w14:textId="1C0AFA37" w:rsidR="007C756E" w:rsidRPr="0057086A" w:rsidRDefault="007C756E" w:rsidP="007C756E">
            <w:pPr>
              <w:spacing w:line="240" w:lineRule="auto"/>
              <w:jc w:val="right"/>
              <w:rPr>
                <w:rFonts w:eastAsia="Times New Roman" w:cs="Arial"/>
                <w:b/>
                <w:bCs/>
                <w:color w:val="FF0000"/>
                <w:spacing w:val="0"/>
                <w:sz w:val="16"/>
                <w:szCs w:val="16"/>
                <w:lang w:eastAsia="en-US"/>
              </w:rPr>
            </w:pPr>
            <w:r w:rsidRPr="003C0B7E">
              <w:rPr>
                <w:rFonts w:cs="Arial"/>
                <w:b/>
                <w:bCs/>
                <w:color w:val="000000"/>
                <w:sz w:val="16"/>
                <w:szCs w:val="16"/>
                <w:lang w:val="en-US"/>
              </w:rPr>
              <w:t>xxx</w:t>
            </w:r>
          </w:p>
        </w:tc>
        <w:tc>
          <w:tcPr>
            <w:tcW w:w="414" w:type="pct"/>
            <w:tcBorders>
              <w:top w:val="single" w:sz="8" w:space="0" w:color="auto"/>
              <w:left w:val="single" w:sz="4" w:space="0" w:color="auto"/>
              <w:bottom w:val="single" w:sz="4" w:space="0" w:color="auto"/>
              <w:right w:val="nil"/>
            </w:tcBorders>
            <w:shd w:val="clear" w:color="auto" w:fill="auto"/>
            <w:noWrap/>
            <w:hideMark/>
          </w:tcPr>
          <w:p w14:paraId="226A408E" w14:textId="3598AFAE" w:rsidR="007C756E" w:rsidRPr="0057086A" w:rsidRDefault="007C756E" w:rsidP="007C756E">
            <w:pPr>
              <w:spacing w:line="240" w:lineRule="auto"/>
              <w:jc w:val="right"/>
              <w:rPr>
                <w:rFonts w:eastAsia="Times New Roman" w:cs="Arial"/>
                <w:b/>
                <w:bCs/>
                <w:color w:val="FF0000"/>
                <w:spacing w:val="0"/>
                <w:sz w:val="16"/>
                <w:szCs w:val="16"/>
                <w:lang w:eastAsia="en-US"/>
              </w:rPr>
            </w:pPr>
            <w:r w:rsidRPr="003C0B7E">
              <w:rPr>
                <w:rFonts w:cs="Arial"/>
                <w:b/>
                <w:bCs/>
                <w:color w:val="000000"/>
                <w:sz w:val="16"/>
                <w:szCs w:val="16"/>
                <w:lang w:val="en-US"/>
              </w:rPr>
              <w:t>xxx</w:t>
            </w:r>
          </w:p>
        </w:tc>
        <w:tc>
          <w:tcPr>
            <w:tcW w:w="543" w:type="pc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613B5B18" w14:textId="458115C1" w:rsidR="007C756E" w:rsidRPr="007C756E" w:rsidRDefault="007C756E" w:rsidP="007C756E">
            <w:pPr>
              <w:spacing w:line="240" w:lineRule="auto"/>
              <w:jc w:val="right"/>
              <w:rPr>
                <w:rFonts w:eastAsia="Times New Roman" w:cs="Arial"/>
                <w:b/>
                <w:bCs/>
                <w:color w:val="000000"/>
                <w:spacing w:val="0"/>
                <w:sz w:val="16"/>
                <w:szCs w:val="16"/>
                <w:lang w:val="en-US" w:eastAsia="en-US"/>
              </w:rPr>
            </w:pPr>
            <w:r>
              <w:rPr>
                <w:rFonts w:ascii="Arial" w:hAnsi="Arial" w:cs="Arial"/>
                <w:b/>
                <w:bCs/>
                <w:color w:val="000000"/>
                <w:sz w:val="20"/>
                <w:szCs w:val="20"/>
                <w:lang w:val="en-US"/>
              </w:rPr>
              <w:t>x xxx</w:t>
            </w:r>
          </w:p>
        </w:tc>
        <w:tc>
          <w:tcPr>
            <w:tcW w:w="413" w:type="pct"/>
            <w:tcBorders>
              <w:top w:val="single" w:sz="8" w:space="0" w:color="auto"/>
              <w:left w:val="single" w:sz="4" w:space="0" w:color="auto"/>
              <w:bottom w:val="single" w:sz="4" w:space="0" w:color="auto"/>
              <w:right w:val="single" w:sz="8" w:space="0" w:color="auto"/>
            </w:tcBorders>
            <w:shd w:val="clear" w:color="auto" w:fill="auto"/>
            <w:noWrap/>
            <w:vAlign w:val="bottom"/>
            <w:hideMark/>
          </w:tcPr>
          <w:p w14:paraId="3D227F33" w14:textId="62ED572C" w:rsidR="007C756E" w:rsidRPr="00D83BCB" w:rsidRDefault="007C756E" w:rsidP="007C756E">
            <w:pPr>
              <w:spacing w:line="240" w:lineRule="auto"/>
              <w:rPr>
                <w:rFonts w:eastAsia="Times New Roman" w:cs="Arial"/>
                <w:b/>
                <w:bCs/>
                <w:color w:val="000000"/>
                <w:spacing w:val="0"/>
                <w:sz w:val="16"/>
                <w:szCs w:val="16"/>
                <w:lang w:eastAsia="en-US"/>
              </w:rPr>
            </w:pPr>
            <w:r w:rsidRPr="00D83BCB">
              <w:rPr>
                <w:rFonts w:cs="Arial"/>
                <w:b/>
                <w:bCs/>
                <w:color w:val="000000"/>
                <w:sz w:val="16"/>
                <w:szCs w:val="16"/>
              </w:rPr>
              <w:t> </w:t>
            </w:r>
          </w:p>
        </w:tc>
      </w:tr>
      <w:tr w:rsidR="007C756E" w:rsidRPr="0057086A" w14:paraId="6C531724" w14:textId="77777777" w:rsidTr="007C756E">
        <w:trPr>
          <w:trHeight w:val="255"/>
        </w:trPr>
        <w:tc>
          <w:tcPr>
            <w:tcW w:w="763" w:type="pct"/>
            <w:vMerge/>
            <w:tcBorders>
              <w:top w:val="single" w:sz="8" w:space="0" w:color="auto"/>
              <w:left w:val="single" w:sz="8" w:space="0" w:color="auto"/>
              <w:bottom w:val="single" w:sz="8" w:space="0" w:color="000000"/>
              <w:right w:val="single" w:sz="4" w:space="0" w:color="auto"/>
            </w:tcBorders>
            <w:vAlign w:val="center"/>
            <w:hideMark/>
          </w:tcPr>
          <w:p w14:paraId="329861A9"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49" w:type="pct"/>
            <w:tcBorders>
              <w:top w:val="nil"/>
              <w:left w:val="nil"/>
              <w:bottom w:val="single" w:sz="4" w:space="0" w:color="auto"/>
              <w:right w:val="single" w:sz="4" w:space="0" w:color="auto"/>
            </w:tcBorders>
            <w:shd w:val="clear" w:color="auto" w:fill="auto"/>
            <w:noWrap/>
            <w:vAlign w:val="bottom"/>
            <w:hideMark/>
          </w:tcPr>
          <w:p w14:paraId="1AE76823"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63" w:type="pct"/>
            <w:tcBorders>
              <w:top w:val="nil"/>
              <w:left w:val="nil"/>
              <w:bottom w:val="single" w:sz="4" w:space="0" w:color="auto"/>
              <w:right w:val="single" w:sz="4" w:space="0" w:color="auto"/>
            </w:tcBorders>
            <w:shd w:val="clear" w:color="auto" w:fill="auto"/>
            <w:noWrap/>
            <w:vAlign w:val="bottom"/>
            <w:hideMark/>
          </w:tcPr>
          <w:p w14:paraId="3A92D517"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4" w:space="0" w:color="auto"/>
              <w:right w:val="single" w:sz="4" w:space="0" w:color="auto"/>
            </w:tcBorders>
            <w:shd w:val="clear" w:color="auto" w:fill="auto"/>
            <w:noWrap/>
            <w:hideMark/>
          </w:tcPr>
          <w:p w14:paraId="2E05AD0C" w14:textId="1F96E94C"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E7532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2ACC6919" w14:textId="11E9399E"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E7532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7EE89F59" w14:textId="389DE02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E7532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3D360D2C" w14:textId="3B3DD3DE" w:rsidR="007C756E" w:rsidRPr="0057086A" w:rsidRDefault="007C756E" w:rsidP="007C756E">
            <w:pPr>
              <w:spacing w:line="240" w:lineRule="auto"/>
              <w:rPr>
                <w:rFonts w:eastAsia="Times New Roman" w:cs="Arial"/>
                <w:color w:val="FF0000"/>
                <w:spacing w:val="0"/>
                <w:sz w:val="16"/>
                <w:szCs w:val="16"/>
                <w:lang w:eastAsia="en-US"/>
              </w:rPr>
            </w:pPr>
            <w:proofErr w:type="spellStart"/>
            <w:proofErr w:type="gramStart"/>
            <w:r w:rsidRPr="00E7532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5DA423EE" w14:textId="300E0306" w:rsidR="007C756E" w:rsidRPr="0057086A" w:rsidRDefault="007C756E" w:rsidP="007C756E">
            <w:pPr>
              <w:spacing w:line="240" w:lineRule="auto"/>
              <w:rPr>
                <w:rFonts w:eastAsia="Times New Roman" w:cs="Arial"/>
                <w:color w:val="FF0000"/>
                <w:spacing w:val="0"/>
                <w:sz w:val="16"/>
                <w:szCs w:val="16"/>
                <w:lang w:eastAsia="en-US"/>
              </w:rPr>
            </w:pPr>
            <w:proofErr w:type="spellStart"/>
            <w:proofErr w:type="gramStart"/>
            <w:r w:rsidRPr="00E75323">
              <w:rPr>
                <w:rFonts w:cs="Arial"/>
                <w:color w:val="000000"/>
                <w:sz w:val="16"/>
                <w:szCs w:val="16"/>
                <w:lang w:val="en-US"/>
              </w:rPr>
              <w:t>x,xx</w:t>
            </w:r>
            <w:proofErr w:type="spellEnd"/>
            <w:proofErr w:type="gramEnd"/>
          </w:p>
        </w:tc>
        <w:tc>
          <w:tcPr>
            <w:tcW w:w="543" w:type="pct"/>
            <w:tcBorders>
              <w:top w:val="nil"/>
              <w:left w:val="single" w:sz="4" w:space="0" w:color="auto"/>
              <w:bottom w:val="single" w:sz="4" w:space="0" w:color="auto"/>
              <w:right w:val="single" w:sz="4" w:space="0" w:color="auto"/>
            </w:tcBorders>
            <w:shd w:val="clear" w:color="auto" w:fill="auto"/>
            <w:noWrap/>
            <w:vAlign w:val="bottom"/>
            <w:hideMark/>
          </w:tcPr>
          <w:p w14:paraId="7D033E38" w14:textId="3E2D575B"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single" w:sz="4" w:space="0" w:color="auto"/>
              <w:right w:val="single" w:sz="8" w:space="0" w:color="auto"/>
            </w:tcBorders>
            <w:shd w:val="clear" w:color="auto" w:fill="auto"/>
            <w:noWrap/>
            <w:vAlign w:val="bottom"/>
            <w:hideMark/>
          </w:tcPr>
          <w:p w14:paraId="0076E59B" w14:textId="2A72B4A5" w:rsidR="007C756E" w:rsidRPr="007C756E" w:rsidRDefault="007C756E" w:rsidP="007C756E">
            <w:pPr>
              <w:spacing w:line="240" w:lineRule="auto"/>
              <w:jc w:val="right"/>
              <w:rPr>
                <w:rFonts w:eastAsia="Times New Roman" w:cs="Arial"/>
                <w:color w:val="000000"/>
                <w:spacing w:val="0"/>
                <w:sz w:val="16"/>
                <w:szCs w:val="16"/>
                <w:lang w:val="en-US" w:eastAsia="en-US"/>
              </w:rPr>
            </w:pPr>
            <w:r>
              <w:rPr>
                <w:rFonts w:cs="Arial"/>
                <w:color w:val="000000"/>
                <w:sz w:val="16"/>
                <w:szCs w:val="16"/>
                <w:lang w:val="en-US"/>
              </w:rPr>
              <w:t>x xxx</w:t>
            </w:r>
          </w:p>
        </w:tc>
      </w:tr>
      <w:tr w:rsidR="007C756E" w:rsidRPr="0057086A" w14:paraId="308DBC54" w14:textId="77777777" w:rsidTr="007C756E">
        <w:trPr>
          <w:trHeight w:val="270"/>
        </w:trPr>
        <w:tc>
          <w:tcPr>
            <w:tcW w:w="763" w:type="pct"/>
            <w:vMerge/>
            <w:tcBorders>
              <w:top w:val="single" w:sz="8" w:space="0" w:color="auto"/>
              <w:left w:val="single" w:sz="8" w:space="0" w:color="auto"/>
              <w:bottom w:val="single" w:sz="8" w:space="0" w:color="000000"/>
              <w:right w:val="single" w:sz="4" w:space="0" w:color="auto"/>
            </w:tcBorders>
            <w:vAlign w:val="center"/>
            <w:hideMark/>
          </w:tcPr>
          <w:p w14:paraId="4AABA3E2"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49" w:type="pct"/>
            <w:tcBorders>
              <w:top w:val="nil"/>
              <w:left w:val="nil"/>
              <w:bottom w:val="single" w:sz="8" w:space="0" w:color="auto"/>
              <w:right w:val="single" w:sz="4" w:space="0" w:color="auto"/>
            </w:tcBorders>
            <w:shd w:val="clear" w:color="auto" w:fill="auto"/>
            <w:noWrap/>
            <w:vAlign w:val="bottom"/>
            <w:hideMark/>
          </w:tcPr>
          <w:p w14:paraId="35BAF862"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 xml:space="preserve">цена </w:t>
            </w:r>
            <w:proofErr w:type="spellStart"/>
            <w:r w:rsidRPr="0057086A">
              <w:rPr>
                <w:rFonts w:eastAsia="Times New Roman" w:cs="Arial"/>
                <w:color w:val="000000"/>
                <w:spacing w:val="0"/>
                <w:sz w:val="16"/>
                <w:szCs w:val="16"/>
                <w:lang w:eastAsia="en-US"/>
              </w:rPr>
              <w:t>инд.канал</w:t>
            </w:r>
            <w:proofErr w:type="spellEnd"/>
          </w:p>
        </w:tc>
        <w:tc>
          <w:tcPr>
            <w:tcW w:w="463" w:type="pct"/>
            <w:tcBorders>
              <w:top w:val="nil"/>
              <w:left w:val="nil"/>
              <w:bottom w:val="single" w:sz="8" w:space="0" w:color="auto"/>
              <w:right w:val="single" w:sz="4" w:space="0" w:color="auto"/>
            </w:tcBorders>
            <w:shd w:val="clear" w:color="auto" w:fill="auto"/>
            <w:noWrap/>
            <w:vAlign w:val="bottom"/>
            <w:hideMark/>
          </w:tcPr>
          <w:p w14:paraId="60D794ED"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8" w:space="0" w:color="auto"/>
              <w:right w:val="single" w:sz="4" w:space="0" w:color="auto"/>
            </w:tcBorders>
            <w:shd w:val="clear" w:color="auto" w:fill="auto"/>
            <w:noWrap/>
            <w:hideMark/>
          </w:tcPr>
          <w:p w14:paraId="49793352" w14:textId="1942D58C"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E75323">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49B2A7DB" w14:textId="26E5E0DF"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E75323">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65DE58F1" w14:textId="352BCBEF"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E75323">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1E071455" w14:textId="6553445C" w:rsidR="007C756E" w:rsidRPr="0057086A" w:rsidRDefault="007C756E" w:rsidP="007C756E">
            <w:pPr>
              <w:spacing w:line="240" w:lineRule="auto"/>
              <w:rPr>
                <w:rFonts w:eastAsia="Times New Roman" w:cs="Arial"/>
                <w:color w:val="FF0000"/>
                <w:spacing w:val="0"/>
                <w:sz w:val="16"/>
                <w:szCs w:val="16"/>
                <w:lang w:eastAsia="en-US"/>
              </w:rPr>
            </w:pPr>
            <w:proofErr w:type="spellStart"/>
            <w:proofErr w:type="gramStart"/>
            <w:r w:rsidRPr="00E75323">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10A3C13F" w14:textId="48A4396C" w:rsidR="007C756E" w:rsidRPr="0057086A" w:rsidRDefault="007C756E" w:rsidP="007C756E">
            <w:pPr>
              <w:spacing w:line="240" w:lineRule="auto"/>
              <w:rPr>
                <w:rFonts w:eastAsia="Times New Roman" w:cs="Arial"/>
                <w:color w:val="FF0000"/>
                <w:spacing w:val="0"/>
                <w:sz w:val="16"/>
                <w:szCs w:val="16"/>
                <w:lang w:eastAsia="en-US"/>
              </w:rPr>
            </w:pPr>
            <w:proofErr w:type="spellStart"/>
            <w:proofErr w:type="gramStart"/>
            <w:r w:rsidRPr="00E75323">
              <w:rPr>
                <w:rFonts w:cs="Arial"/>
                <w:color w:val="000000"/>
                <w:sz w:val="16"/>
                <w:szCs w:val="16"/>
                <w:lang w:val="en-US"/>
              </w:rPr>
              <w:t>x,xx</w:t>
            </w:r>
            <w:proofErr w:type="spellEnd"/>
            <w:proofErr w:type="gramEnd"/>
          </w:p>
        </w:tc>
        <w:tc>
          <w:tcPr>
            <w:tcW w:w="543" w:type="pct"/>
            <w:tcBorders>
              <w:top w:val="nil"/>
              <w:left w:val="single" w:sz="4" w:space="0" w:color="auto"/>
              <w:bottom w:val="single" w:sz="8" w:space="0" w:color="auto"/>
              <w:right w:val="single" w:sz="4" w:space="0" w:color="auto"/>
            </w:tcBorders>
            <w:shd w:val="clear" w:color="auto" w:fill="auto"/>
            <w:noWrap/>
            <w:vAlign w:val="bottom"/>
            <w:hideMark/>
          </w:tcPr>
          <w:p w14:paraId="7539427C" w14:textId="16D6C683"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single" w:sz="8" w:space="0" w:color="auto"/>
              <w:right w:val="single" w:sz="8" w:space="0" w:color="auto"/>
            </w:tcBorders>
            <w:shd w:val="clear" w:color="auto" w:fill="auto"/>
            <w:noWrap/>
            <w:vAlign w:val="bottom"/>
            <w:hideMark/>
          </w:tcPr>
          <w:p w14:paraId="30B87C85" w14:textId="70EBD7D3" w:rsidR="007C756E" w:rsidRPr="00D83BCB" w:rsidRDefault="007C756E" w:rsidP="007C756E">
            <w:pPr>
              <w:spacing w:line="240" w:lineRule="auto"/>
              <w:jc w:val="right"/>
              <w:rPr>
                <w:rFonts w:eastAsia="Times New Roman" w:cs="Arial"/>
                <w:color w:val="000000"/>
                <w:spacing w:val="0"/>
                <w:sz w:val="16"/>
                <w:szCs w:val="16"/>
                <w:lang w:eastAsia="en-US"/>
              </w:rPr>
            </w:pPr>
            <w:r>
              <w:rPr>
                <w:rFonts w:cs="Arial"/>
                <w:color w:val="000000"/>
                <w:sz w:val="16"/>
                <w:szCs w:val="16"/>
                <w:lang w:val="en-US"/>
              </w:rPr>
              <w:t>x xxx</w:t>
            </w:r>
            <w:r w:rsidRPr="00D83BCB">
              <w:rPr>
                <w:rFonts w:cs="Arial"/>
                <w:color w:val="000000"/>
                <w:sz w:val="16"/>
                <w:szCs w:val="16"/>
              </w:rPr>
              <w:t xml:space="preserve"> 0</w:t>
            </w:r>
          </w:p>
        </w:tc>
      </w:tr>
      <w:tr w:rsidR="007C756E" w:rsidRPr="0057086A" w14:paraId="460C723E" w14:textId="77777777" w:rsidTr="007C756E">
        <w:trPr>
          <w:trHeight w:val="255"/>
        </w:trPr>
        <w:tc>
          <w:tcPr>
            <w:tcW w:w="763"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487EBD54"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ОЦ питейна вода</w:t>
            </w:r>
          </w:p>
        </w:tc>
        <w:tc>
          <w:tcPr>
            <w:tcW w:w="749" w:type="pct"/>
            <w:tcBorders>
              <w:top w:val="nil"/>
              <w:left w:val="nil"/>
              <w:bottom w:val="single" w:sz="4" w:space="0" w:color="auto"/>
              <w:right w:val="single" w:sz="4" w:space="0" w:color="auto"/>
            </w:tcBorders>
            <w:shd w:val="clear" w:color="auto" w:fill="auto"/>
            <w:noWrap/>
            <w:vAlign w:val="bottom"/>
            <w:hideMark/>
          </w:tcPr>
          <w:p w14:paraId="41321F0D"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63" w:type="pct"/>
            <w:tcBorders>
              <w:top w:val="nil"/>
              <w:left w:val="nil"/>
              <w:bottom w:val="single" w:sz="4" w:space="0" w:color="auto"/>
              <w:right w:val="single" w:sz="4" w:space="0" w:color="auto"/>
            </w:tcBorders>
            <w:shd w:val="clear" w:color="auto" w:fill="auto"/>
            <w:noWrap/>
            <w:vAlign w:val="bottom"/>
            <w:hideMark/>
          </w:tcPr>
          <w:p w14:paraId="3ADDFFE7" w14:textId="77777777" w:rsidR="007C756E" w:rsidRPr="0057086A" w:rsidRDefault="007C756E" w:rsidP="007C756E">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14" w:type="pct"/>
            <w:tcBorders>
              <w:top w:val="nil"/>
              <w:left w:val="single" w:sz="4" w:space="0" w:color="auto"/>
              <w:bottom w:val="single" w:sz="4" w:space="0" w:color="auto"/>
              <w:right w:val="single" w:sz="4" w:space="0" w:color="auto"/>
            </w:tcBorders>
            <w:shd w:val="clear" w:color="auto" w:fill="auto"/>
            <w:noWrap/>
            <w:hideMark/>
          </w:tcPr>
          <w:p w14:paraId="71AF1403" w14:textId="007B17E8" w:rsidR="007C756E" w:rsidRPr="0057086A" w:rsidRDefault="007C756E" w:rsidP="007C756E">
            <w:pPr>
              <w:spacing w:line="240" w:lineRule="auto"/>
              <w:jc w:val="right"/>
              <w:rPr>
                <w:rFonts w:eastAsia="Times New Roman" w:cs="Arial"/>
                <w:b/>
                <w:bCs/>
                <w:spacing w:val="0"/>
                <w:sz w:val="16"/>
                <w:szCs w:val="16"/>
                <w:lang w:eastAsia="en-US"/>
              </w:rPr>
            </w:pPr>
            <w:r w:rsidRPr="008109C4">
              <w:rPr>
                <w:rFonts w:cs="Arial"/>
                <w:b/>
                <w:bCs/>
                <w:color w:val="000000"/>
                <w:sz w:val="16"/>
                <w:szCs w:val="16"/>
                <w:lang w:val="en-US"/>
              </w:rPr>
              <w:t>xx</w:t>
            </w:r>
          </w:p>
        </w:tc>
        <w:tc>
          <w:tcPr>
            <w:tcW w:w="414" w:type="pct"/>
            <w:tcBorders>
              <w:top w:val="nil"/>
              <w:left w:val="nil"/>
              <w:bottom w:val="single" w:sz="4" w:space="0" w:color="auto"/>
              <w:right w:val="single" w:sz="4" w:space="0" w:color="auto"/>
            </w:tcBorders>
            <w:shd w:val="clear" w:color="auto" w:fill="auto"/>
            <w:noWrap/>
            <w:hideMark/>
          </w:tcPr>
          <w:p w14:paraId="649FA1C9" w14:textId="730DD2FD" w:rsidR="007C756E" w:rsidRPr="0057086A" w:rsidRDefault="007C756E" w:rsidP="007C756E">
            <w:pPr>
              <w:spacing w:line="240" w:lineRule="auto"/>
              <w:jc w:val="right"/>
              <w:rPr>
                <w:rFonts w:eastAsia="Times New Roman" w:cs="Arial"/>
                <w:b/>
                <w:bCs/>
                <w:spacing w:val="0"/>
                <w:sz w:val="16"/>
                <w:szCs w:val="16"/>
                <w:lang w:eastAsia="en-US"/>
              </w:rPr>
            </w:pPr>
            <w:r w:rsidRPr="008109C4">
              <w:rPr>
                <w:rFonts w:cs="Arial"/>
                <w:b/>
                <w:bCs/>
                <w:color w:val="000000"/>
                <w:sz w:val="16"/>
                <w:szCs w:val="16"/>
                <w:lang w:val="en-US"/>
              </w:rPr>
              <w:t>xx</w:t>
            </w:r>
          </w:p>
        </w:tc>
        <w:tc>
          <w:tcPr>
            <w:tcW w:w="414" w:type="pct"/>
            <w:tcBorders>
              <w:top w:val="nil"/>
              <w:left w:val="nil"/>
              <w:bottom w:val="single" w:sz="4" w:space="0" w:color="auto"/>
              <w:right w:val="single" w:sz="4" w:space="0" w:color="auto"/>
            </w:tcBorders>
            <w:shd w:val="clear" w:color="auto" w:fill="auto"/>
            <w:noWrap/>
            <w:hideMark/>
          </w:tcPr>
          <w:p w14:paraId="5B0E8F08" w14:textId="41A1F03B" w:rsidR="007C756E" w:rsidRPr="0057086A" w:rsidRDefault="007C756E" w:rsidP="007C756E">
            <w:pPr>
              <w:spacing w:line="240" w:lineRule="auto"/>
              <w:jc w:val="right"/>
              <w:rPr>
                <w:rFonts w:eastAsia="Times New Roman" w:cs="Arial"/>
                <w:b/>
                <w:bCs/>
                <w:spacing w:val="0"/>
                <w:sz w:val="16"/>
                <w:szCs w:val="16"/>
                <w:lang w:eastAsia="en-US"/>
              </w:rPr>
            </w:pPr>
            <w:r w:rsidRPr="008109C4">
              <w:rPr>
                <w:rFonts w:cs="Arial"/>
                <w:b/>
                <w:bCs/>
                <w:color w:val="000000"/>
                <w:sz w:val="16"/>
                <w:szCs w:val="16"/>
                <w:lang w:val="en-US"/>
              </w:rPr>
              <w:t>xx</w:t>
            </w:r>
          </w:p>
        </w:tc>
        <w:tc>
          <w:tcPr>
            <w:tcW w:w="414" w:type="pct"/>
            <w:tcBorders>
              <w:top w:val="nil"/>
              <w:left w:val="nil"/>
              <w:bottom w:val="single" w:sz="4" w:space="0" w:color="auto"/>
              <w:right w:val="single" w:sz="4" w:space="0" w:color="auto"/>
            </w:tcBorders>
            <w:shd w:val="clear" w:color="auto" w:fill="auto"/>
            <w:noWrap/>
            <w:hideMark/>
          </w:tcPr>
          <w:p w14:paraId="58921F24" w14:textId="516302CA" w:rsidR="007C756E" w:rsidRPr="0057086A" w:rsidRDefault="007C756E" w:rsidP="007C756E">
            <w:pPr>
              <w:spacing w:line="240" w:lineRule="auto"/>
              <w:jc w:val="right"/>
              <w:rPr>
                <w:rFonts w:eastAsia="Times New Roman" w:cs="Arial"/>
                <w:b/>
                <w:bCs/>
                <w:spacing w:val="0"/>
                <w:sz w:val="16"/>
                <w:szCs w:val="16"/>
                <w:lang w:eastAsia="en-US"/>
              </w:rPr>
            </w:pPr>
            <w:r w:rsidRPr="008109C4">
              <w:rPr>
                <w:rFonts w:cs="Arial"/>
                <w:b/>
                <w:bCs/>
                <w:color w:val="000000"/>
                <w:sz w:val="16"/>
                <w:szCs w:val="16"/>
                <w:lang w:val="en-US"/>
              </w:rPr>
              <w:t>xx</w:t>
            </w:r>
          </w:p>
        </w:tc>
        <w:tc>
          <w:tcPr>
            <w:tcW w:w="414" w:type="pct"/>
            <w:tcBorders>
              <w:top w:val="nil"/>
              <w:left w:val="nil"/>
              <w:bottom w:val="single" w:sz="4" w:space="0" w:color="auto"/>
              <w:right w:val="single" w:sz="4" w:space="0" w:color="auto"/>
            </w:tcBorders>
            <w:shd w:val="clear" w:color="auto" w:fill="auto"/>
            <w:noWrap/>
            <w:hideMark/>
          </w:tcPr>
          <w:p w14:paraId="78C17DDE" w14:textId="5F0BA04E" w:rsidR="007C756E" w:rsidRPr="0057086A" w:rsidRDefault="007C756E" w:rsidP="007C756E">
            <w:pPr>
              <w:spacing w:line="240" w:lineRule="auto"/>
              <w:jc w:val="right"/>
              <w:rPr>
                <w:rFonts w:eastAsia="Times New Roman" w:cs="Arial"/>
                <w:b/>
                <w:bCs/>
                <w:spacing w:val="0"/>
                <w:sz w:val="16"/>
                <w:szCs w:val="16"/>
                <w:lang w:eastAsia="en-US"/>
              </w:rPr>
            </w:pPr>
            <w:r w:rsidRPr="008109C4">
              <w:rPr>
                <w:rFonts w:cs="Arial"/>
                <w:b/>
                <w:bCs/>
                <w:color w:val="000000"/>
                <w:sz w:val="16"/>
                <w:szCs w:val="16"/>
                <w:lang w:val="en-US"/>
              </w:rPr>
              <w:t>xx</w:t>
            </w:r>
          </w:p>
        </w:tc>
        <w:tc>
          <w:tcPr>
            <w:tcW w:w="543" w:type="pct"/>
            <w:tcBorders>
              <w:top w:val="nil"/>
              <w:left w:val="single" w:sz="4" w:space="0" w:color="auto"/>
              <w:bottom w:val="single" w:sz="4" w:space="0" w:color="auto"/>
              <w:right w:val="single" w:sz="4" w:space="0" w:color="auto"/>
            </w:tcBorders>
            <w:shd w:val="clear" w:color="auto" w:fill="auto"/>
            <w:noWrap/>
            <w:vAlign w:val="bottom"/>
            <w:hideMark/>
          </w:tcPr>
          <w:p w14:paraId="3206AD07" w14:textId="23F96A6D" w:rsidR="007C756E" w:rsidRPr="007C756E" w:rsidRDefault="007C756E" w:rsidP="007C756E">
            <w:pPr>
              <w:spacing w:line="240" w:lineRule="auto"/>
              <w:jc w:val="right"/>
              <w:rPr>
                <w:rFonts w:eastAsia="Times New Roman" w:cs="Arial"/>
                <w:b/>
                <w:bCs/>
                <w:color w:val="000000"/>
                <w:spacing w:val="0"/>
                <w:sz w:val="16"/>
                <w:szCs w:val="16"/>
                <w:lang w:val="en-US" w:eastAsia="en-US"/>
              </w:rPr>
            </w:pPr>
            <w:r>
              <w:rPr>
                <w:rFonts w:ascii="Arial" w:hAnsi="Arial" w:cs="Arial"/>
                <w:b/>
                <w:bCs/>
                <w:color w:val="000000"/>
                <w:sz w:val="20"/>
                <w:szCs w:val="20"/>
                <w:lang w:val="en-US"/>
              </w:rPr>
              <w:t>xxx</w:t>
            </w:r>
          </w:p>
        </w:tc>
        <w:tc>
          <w:tcPr>
            <w:tcW w:w="413" w:type="pct"/>
            <w:tcBorders>
              <w:top w:val="nil"/>
              <w:left w:val="single" w:sz="4" w:space="0" w:color="auto"/>
              <w:bottom w:val="single" w:sz="4" w:space="0" w:color="auto"/>
              <w:right w:val="single" w:sz="8" w:space="0" w:color="auto"/>
            </w:tcBorders>
            <w:shd w:val="clear" w:color="auto" w:fill="auto"/>
            <w:noWrap/>
            <w:vAlign w:val="bottom"/>
            <w:hideMark/>
          </w:tcPr>
          <w:p w14:paraId="4528B74A" w14:textId="3F0C7014" w:rsidR="007C756E" w:rsidRPr="00D83BCB" w:rsidRDefault="007C756E" w:rsidP="007C756E">
            <w:pPr>
              <w:spacing w:line="240" w:lineRule="auto"/>
              <w:rPr>
                <w:rFonts w:eastAsia="Times New Roman" w:cs="Arial"/>
                <w:b/>
                <w:bCs/>
                <w:color w:val="000000"/>
                <w:spacing w:val="0"/>
                <w:sz w:val="16"/>
                <w:szCs w:val="16"/>
                <w:lang w:eastAsia="en-US"/>
              </w:rPr>
            </w:pPr>
            <w:r w:rsidRPr="00D83BCB">
              <w:rPr>
                <w:rFonts w:cs="Arial"/>
                <w:b/>
                <w:bCs/>
                <w:color w:val="000000"/>
                <w:sz w:val="16"/>
                <w:szCs w:val="16"/>
              </w:rPr>
              <w:t> </w:t>
            </w:r>
          </w:p>
        </w:tc>
      </w:tr>
      <w:tr w:rsidR="007C756E" w:rsidRPr="0057086A" w14:paraId="369C5FC5" w14:textId="77777777" w:rsidTr="007C756E">
        <w:trPr>
          <w:trHeight w:val="255"/>
        </w:trPr>
        <w:tc>
          <w:tcPr>
            <w:tcW w:w="763" w:type="pct"/>
            <w:vMerge/>
            <w:tcBorders>
              <w:top w:val="nil"/>
              <w:left w:val="single" w:sz="8" w:space="0" w:color="auto"/>
              <w:bottom w:val="single" w:sz="8" w:space="0" w:color="000000"/>
              <w:right w:val="single" w:sz="4" w:space="0" w:color="auto"/>
            </w:tcBorders>
            <w:vAlign w:val="center"/>
            <w:hideMark/>
          </w:tcPr>
          <w:p w14:paraId="66877EA0"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49" w:type="pct"/>
            <w:tcBorders>
              <w:top w:val="nil"/>
              <w:left w:val="nil"/>
              <w:bottom w:val="single" w:sz="4" w:space="0" w:color="auto"/>
              <w:right w:val="single" w:sz="4" w:space="0" w:color="auto"/>
            </w:tcBorders>
            <w:shd w:val="clear" w:color="auto" w:fill="auto"/>
            <w:noWrap/>
            <w:vAlign w:val="bottom"/>
            <w:hideMark/>
          </w:tcPr>
          <w:p w14:paraId="7711B29D"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63" w:type="pct"/>
            <w:tcBorders>
              <w:top w:val="nil"/>
              <w:left w:val="nil"/>
              <w:bottom w:val="single" w:sz="4" w:space="0" w:color="auto"/>
              <w:right w:val="single" w:sz="4" w:space="0" w:color="auto"/>
            </w:tcBorders>
            <w:shd w:val="clear" w:color="auto" w:fill="auto"/>
            <w:noWrap/>
            <w:vAlign w:val="bottom"/>
            <w:hideMark/>
          </w:tcPr>
          <w:p w14:paraId="7CFE1FDA"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4" w:space="0" w:color="auto"/>
              <w:right w:val="single" w:sz="4" w:space="0" w:color="auto"/>
            </w:tcBorders>
            <w:shd w:val="clear" w:color="auto" w:fill="auto"/>
            <w:noWrap/>
            <w:hideMark/>
          </w:tcPr>
          <w:p w14:paraId="3C18E0E9" w14:textId="47FDC614"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21792815" w14:textId="7EADFC42"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40037483" w14:textId="24255112"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5F9998FC" w14:textId="46A3399F"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228EDBC2" w14:textId="184E3A89"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543" w:type="pct"/>
            <w:tcBorders>
              <w:top w:val="nil"/>
              <w:left w:val="single" w:sz="4" w:space="0" w:color="auto"/>
              <w:bottom w:val="single" w:sz="4" w:space="0" w:color="auto"/>
              <w:right w:val="single" w:sz="4" w:space="0" w:color="auto"/>
            </w:tcBorders>
            <w:shd w:val="clear" w:color="auto" w:fill="auto"/>
            <w:noWrap/>
            <w:vAlign w:val="bottom"/>
            <w:hideMark/>
          </w:tcPr>
          <w:p w14:paraId="5D915DA4" w14:textId="6021E33A"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single" w:sz="4" w:space="0" w:color="auto"/>
              <w:right w:val="single" w:sz="8" w:space="0" w:color="auto"/>
            </w:tcBorders>
            <w:shd w:val="clear" w:color="auto" w:fill="auto"/>
            <w:noWrap/>
            <w:vAlign w:val="bottom"/>
            <w:hideMark/>
          </w:tcPr>
          <w:p w14:paraId="2CC25750" w14:textId="5729E051" w:rsidR="007C756E" w:rsidRPr="007C756E" w:rsidRDefault="007C756E" w:rsidP="007C756E">
            <w:pPr>
              <w:spacing w:line="240" w:lineRule="auto"/>
              <w:jc w:val="right"/>
              <w:rPr>
                <w:rFonts w:eastAsia="Times New Roman" w:cs="Arial"/>
                <w:color w:val="000000"/>
                <w:spacing w:val="0"/>
                <w:sz w:val="16"/>
                <w:szCs w:val="16"/>
                <w:lang w:val="en-US" w:eastAsia="en-US"/>
              </w:rPr>
            </w:pPr>
            <w:r>
              <w:rPr>
                <w:rFonts w:cs="Arial"/>
                <w:color w:val="000000"/>
                <w:sz w:val="16"/>
                <w:szCs w:val="16"/>
                <w:lang w:val="en-US"/>
              </w:rPr>
              <w:t>xxx</w:t>
            </w:r>
          </w:p>
        </w:tc>
      </w:tr>
      <w:tr w:rsidR="007C756E" w:rsidRPr="0057086A" w14:paraId="4957D12C" w14:textId="77777777" w:rsidTr="007C756E">
        <w:trPr>
          <w:trHeight w:val="255"/>
        </w:trPr>
        <w:tc>
          <w:tcPr>
            <w:tcW w:w="763" w:type="pct"/>
            <w:vMerge/>
            <w:tcBorders>
              <w:top w:val="nil"/>
              <w:left w:val="single" w:sz="8" w:space="0" w:color="auto"/>
              <w:bottom w:val="single" w:sz="8" w:space="0" w:color="000000"/>
              <w:right w:val="single" w:sz="4" w:space="0" w:color="auto"/>
            </w:tcBorders>
            <w:vAlign w:val="center"/>
            <w:hideMark/>
          </w:tcPr>
          <w:p w14:paraId="2812DBE3"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49" w:type="pct"/>
            <w:tcBorders>
              <w:top w:val="nil"/>
              <w:left w:val="nil"/>
              <w:bottom w:val="single" w:sz="4" w:space="0" w:color="auto"/>
              <w:right w:val="single" w:sz="4" w:space="0" w:color="auto"/>
            </w:tcBorders>
            <w:shd w:val="clear" w:color="auto" w:fill="auto"/>
            <w:noWrap/>
            <w:vAlign w:val="bottom"/>
            <w:hideMark/>
          </w:tcPr>
          <w:p w14:paraId="768A6CB4"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63" w:type="pct"/>
            <w:tcBorders>
              <w:top w:val="nil"/>
              <w:left w:val="nil"/>
              <w:bottom w:val="single" w:sz="4" w:space="0" w:color="auto"/>
              <w:right w:val="single" w:sz="4" w:space="0" w:color="auto"/>
            </w:tcBorders>
            <w:shd w:val="clear" w:color="auto" w:fill="auto"/>
            <w:noWrap/>
            <w:vAlign w:val="bottom"/>
            <w:hideMark/>
          </w:tcPr>
          <w:p w14:paraId="37791C0B"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4" w:space="0" w:color="auto"/>
              <w:right w:val="single" w:sz="4" w:space="0" w:color="auto"/>
            </w:tcBorders>
            <w:shd w:val="clear" w:color="auto" w:fill="auto"/>
            <w:noWrap/>
            <w:hideMark/>
          </w:tcPr>
          <w:p w14:paraId="3C35A624" w14:textId="634C6170"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71338C3D" w14:textId="43FABC7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61980635" w14:textId="1758C15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2032F772" w14:textId="65BAF2A0"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5E4BA23C" w14:textId="00A9C14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543" w:type="pct"/>
            <w:tcBorders>
              <w:top w:val="nil"/>
              <w:left w:val="single" w:sz="4" w:space="0" w:color="auto"/>
              <w:bottom w:val="single" w:sz="4" w:space="0" w:color="auto"/>
              <w:right w:val="single" w:sz="4" w:space="0" w:color="auto"/>
            </w:tcBorders>
            <w:shd w:val="clear" w:color="auto" w:fill="auto"/>
            <w:noWrap/>
            <w:vAlign w:val="bottom"/>
            <w:hideMark/>
          </w:tcPr>
          <w:p w14:paraId="169BBF20" w14:textId="0365DA27"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single" w:sz="4" w:space="0" w:color="auto"/>
              <w:right w:val="single" w:sz="8" w:space="0" w:color="auto"/>
            </w:tcBorders>
            <w:shd w:val="clear" w:color="auto" w:fill="auto"/>
            <w:noWrap/>
            <w:vAlign w:val="bottom"/>
            <w:hideMark/>
          </w:tcPr>
          <w:p w14:paraId="6FFFF49B" w14:textId="5E28320A" w:rsidR="007C756E" w:rsidRPr="007C756E" w:rsidRDefault="007C756E" w:rsidP="007C756E">
            <w:pPr>
              <w:spacing w:line="240" w:lineRule="auto"/>
              <w:jc w:val="right"/>
              <w:rPr>
                <w:rFonts w:eastAsia="Times New Roman" w:cs="Arial"/>
                <w:color w:val="000000"/>
                <w:spacing w:val="0"/>
                <w:sz w:val="16"/>
                <w:szCs w:val="16"/>
                <w:lang w:val="en-US" w:eastAsia="en-US"/>
              </w:rPr>
            </w:pPr>
            <w:r>
              <w:rPr>
                <w:rFonts w:cs="Arial"/>
                <w:color w:val="000000"/>
                <w:sz w:val="16"/>
                <w:szCs w:val="16"/>
                <w:lang w:val="en-US"/>
              </w:rPr>
              <w:t>xx</w:t>
            </w:r>
          </w:p>
        </w:tc>
      </w:tr>
      <w:tr w:rsidR="007C756E" w:rsidRPr="0057086A" w14:paraId="25C29C51" w14:textId="77777777" w:rsidTr="007C756E">
        <w:trPr>
          <w:trHeight w:val="270"/>
        </w:trPr>
        <w:tc>
          <w:tcPr>
            <w:tcW w:w="763" w:type="pct"/>
            <w:vMerge/>
            <w:tcBorders>
              <w:top w:val="nil"/>
              <w:left w:val="single" w:sz="8" w:space="0" w:color="auto"/>
              <w:bottom w:val="single" w:sz="8" w:space="0" w:color="000000"/>
              <w:right w:val="single" w:sz="4" w:space="0" w:color="auto"/>
            </w:tcBorders>
            <w:vAlign w:val="center"/>
            <w:hideMark/>
          </w:tcPr>
          <w:p w14:paraId="4900705B"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49" w:type="pct"/>
            <w:tcBorders>
              <w:top w:val="nil"/>
              <w:left w:val="nil"/>
              <w:bottom w:val="single" w:sz="8" w:space="0" w:color="auto"/>
              <w:right w:val="single" w:sz="4" w:space="0" w:color="auto"/>
            </w:tcBorders>
            <w:shd w:val="clear" w:color="auto" w:fill="auto"/>
            <w:noWrap/>
            <w:vAlign w:val="bottom"/>
            <w:hideMark/>
          </w:tcPr>
          <w:p w14:paraId="30E33810"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63" w:type="pct"/>
            <w:tcBorders>
              <w:top w:val="nil"/>
              <w:left w:val="nil"/>
              <w:bottom w:val="single" w:sz="8" w:space="0" w:color="auto"/>
              <w:right w:val="single" w:sz="4" w:space="0" w:color="auto"/>
            </w:tcBorders>
            <w:shd w:val="clear" w:color="auto" w:fill="auto"/>
            <w:noWrap/>
            <w:vAlign w:val="bottom"/>
            <w:hideMark/>
          </w:tcPr>
          <w:p w14:paraId="17EA91F6"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8" w:space="0" w:color="auto"/>
              <w:right w:val="single" w:sz="4" w:space="0" w:color="auto"/>
            </w:tcBorders>
            <w:shd w:val="clear" w:color="auto" w:fill="auto"/>
            <w:noWrap/>
            <w:hideMark/>
          </w:tcPr>
          <w:p w14:paraId="1CEE3D2C" w14:textId="18AD9FDE"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7AAD7A4D" w14:textId="23D863CB"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6C39DA73" w14:textId="7D483509"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027E5F00" w14:textId="65D44AAC"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450F21CC" w14:textId="1D1F2CEA"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7D65D3">
              <w:rPr>
                <w:rFonts w:cs="Arial"/>
                <w:color w:val="000000"/>
                <w:sz w:val="16"/>
                <w:szCs w:val="16"/>
                <w:lang w:val="en-US"/>
              </w:rPr>
              <w:t>x,xx</w:t>
            </w:r>
            <w:proofErr w:type="spellEnd"/>
            <w:proofErr w:type="gramEnd"/>
          </w:p>
        </w:tc>
        <w:tc>
          <w:tcPr>
            <w:tcW w:w="543" w:type="pct"/>
            <w:tcBorders>
              <w:top w:val="nil"/>
              <w:left w:val="single" w:sz="4" w:space="0" w:color="auto"/>
              <w:bottom w:val="single" w:sz="8" w:space="0" w:color="auto"/>
              <w:right w:val="single" w:sz="4" w:space="0" w:color="auto"/>
            </w:tcBorders>
            <w:shd w:val="clear" w:color="auto" w:fill="auto"/>
            <w:noWrap/>
            <w:vAlign w:val="bottom"/>
            <w:hideMark/>
          </w:tcPr>
          <w:p w14:paraId="70905BB0" w14:textId="3500CE05"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single" w:sz="8" w:space="0" w:color="auto"/>
              <w:right w:val="single" w:sz="8" w:space="0" w:color="auto"/>
            </w:tcBorders>
            <w:shd w:val="clear" w:color="auto" w:fill="auto"/>
            <w:noWrap/>
            <w:vAlign w:val="bottom"/>
            <w:hideMark/>
          </w:tcPr>
          <w:p w14:paraId="6D1A51D7" w14:textId="5012F49D" w:rsidR="007C756E" w:rsidRPr="007C756E" w:rsidRDefault="007C756E" w:rsidP="007C756E">
            <w:pPr>
              <w:spacing w:line="240" w:lineRule="auto"/>
              <w:jc w:val="right"/>
              <w:rPr>
                <w:rFonts w:eastAsia="Times New Roman" w:cs="Arial"/>
                <w:color w:val="000000"/>
                <w:spacing w:val="0"/>
                <w:sz w:val="16"/>
                <w:szCs w:val="16"/>
                <w:lang w:val="en-US" w:eastAsia="en-US"/>
              </w:rPr>
            </w:pPr>
            <w:r>
              <w:rPr>
                <w:rFonts w:cs="Arial"/>
                <w:color w:val="000000"/>
                <w:sz w:val="16"/>
                <w:szCs w:val="16"/>
                <w:lang w:val="en-US"/>
              </w:rPr>
              <w:t>xxx</w:t>
            </w:r>
          </w:p>
        </w:tc>
      </w:tr>
      <w:tr w:rsidR="00D83BCB" w:rsidRPr="0057086A" w14:paraId="4A1E2FE8" w14:textId="77777777" w:rsidTr="007C756E">
        <w:trPr>
          <w:trHeight w:val="255"/>
        </w:trPr>
        <w:tc>
          <w:tcPr>
            <w:tcW w:w="763"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5F3A8F7" w14:textId="77777777" w:rsidR="00D83BCB" w:rsidRPr="0057086A" w:rsidRDefault="00D83BCB" w:rsidP="00D83BCB">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ТЕЦ инкасатори</w:t>
            </w:r>
          </w:p>
        </w:tc>
        <w:tc>
          <w:tcPr>
            <w:tcW w:w="749" w:type="pct"/>
            <w:tcBorders>
              <w:top w:val="nil"/>
              <w:left w:val="nil"/>
              <w:bottom w:val="single" w:sz="4" w:space="0" w:color="auto"/>
              <w:right w:val="single" w:sz="4" w:space="0" w:color="auto"/>
            </w:tcBorders>
            <w:shd w:val="clear" w:color="auto" w:fill="auto"/>
            <w:noWrap/>
            <w:vAlign w:val="bottom"/>
            <w:hideMark/>
          </w:tcPr>
          <w:p w14:paraId="5FA5E7E4" w14:textId="77777777" w:rsidR="00D83BCB" w:rsidRPr="0057086A" w:rsidRDefault="00D83BCB" w:rsidP="00D83BCB">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63" w:type="pct"/>
            <w:tcBorders>
              <w:top w:val="nil"/>
              <w:left w:val="nil"/>
              <w:bottom w:val="single" w:sz="4" w:space="0" w:color="auto"/>
              <w:right w:val="single" w:sz="4" w:space="0" w:color="auto"/>
            </w:tcBorders>
            <w:shd w:val="clear" w:color="auto" w:fill="auto"/>
            <w:noWrap/>
            <w:vAlign w:val="bottom"/>
            <w:hideMark/>
          </w:tcPr>
          <w:p w14:paraId="7ABDFFB3" w14:textId="77777777" w:rsidR="00D83BCB" w:rsidRPr="0057086A" w:rsidRDefault="00D83BCB" w:rsidP="00D83BCB">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14" w:type="pct"/>
            <w:tcBorders>
              <w:top w:val="nil"/>
              <w:left w:val="single" w:sz="4" w:space="0" w:color="auto"/>
              <w:bottom w:val="single" w:sz="4" w:space="0" w:color="auto"/>
              <w:right w:val="single" w:sz="4" w:space="0" w:color="auto"/>
            </w:tcBorders>
            <w:shd w:val="clear" w:color="auto" w:fill="auto"/>
            <w:noWrap/>
            <w:vAlign w:val="bottom"/>
            <w:hideMark/>
          </w:tcPr>
          <w:p w14:paraId="6607691D" w14:textId="3FA5BFEE" w:rsidR="00D83BCB" w:rsidRPr="007C756E" w:rsidRDefault="007C756E" w:rsidP="00D83BCB">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14" w:type="pct"/>
            <w:tcBorders>
              <w:top w:val="nil"/>
              <w:left w:val="nil"/>
              <w:bottom w:val="single" w:sz="4" w:space="0" w:color="auto"/>
              <w:right w:val="single" w:sz="4" w:space="0" w:color="auto"/>
            </w:tcBorders>
            <w:shd w:val="clear" w:color="auto" w:fill="auto"/>
            <w:noWrap/>
            <w:vAlign w:val="bottom"/>
            <w:hideMark/>
          </w:tcPr>
          <w:p w14:paraId="45587DBD" w14:textId="09C0AC44" w:rsidR="00D83BCB" w:rsidRPr="007C756E" w:rsidRDefault="007C756E" w:rsidP="00D83BCB">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14" w:type="pct"/>
            <w:tcBorders>
              <w:top w:val="nil"/>
              <w:left w:val="nil"/>
              <w:bottom w:val="single" w:sz="4" w:space="0" w:color="auto"/>
              <w:right w:val="single" w:sz="4" w:space="0" w:color="auto"/>
            </w:tcBorders>
            <w:shd w:val="clear" w:color="auto" w:fill="auto"/>
            <w:noWrap/>
            <w:vAlign w:val="bottom"/>
            <w:hideMark/>
          </w:tcPr>
          <w:p w14:paraId="6EDC8D54" w14:textId="13ECD179" w:rsidR="00D83BCB" w:rsidRPr="007C756E" w:rsidRDefault="007C756E" w:rsidP="00D83BCB">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14" w:type="pct"/>
            <w:tcBorders>
              <w:top w:val="nil"/>
              <w:left w:val="nil"/>
              <w:bottom w:val="single" w:sz="4" w:space="0" w:color="auto"/>
              <w:right w:val="nil"/>
            </w:tcBorders>
            <w:shd w:val="clear" w:color="auto" w:fill="auto"/>
            <w:noWrap/>
            <w:vAlign w:val="bottom"/>
            <w:hideMark/>
          </w:tcPr>
          <w:p w14:paraId="1E26CF45" w14:textId="72A1F433" w:rsidR="00D83BCB" w:rsidRPr="007C756E" w:rsidRDefault="007C756E" w:rsidP="00D83BCB">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14" w:type="pct"/>
            <w:tcBorders>
              <w:top w:val="nil"/>
              <w:left w:val="single" w:sz="4" w:space="0" w:color="auto"/>
              <w:bottom w:val="single" w:sz="4" w:space="0" w:color="auto"/>
              <w:right w:val="nil"/>
            </w:tcBorders>
            <w:shd w:val="clear" w:color="auto" w:fill="auto"/>
            <w:noWrap/>
            <w:vAlign w:val="bottom"/>
            <w:hideMark/>
          </w:tcPr>
          <w:p w14:paraId="51EA585E" w14:textId="212775DB" w:rsidR="00D83BCB" w:rsidRPr="007C756E" w:rsidRDefault="007C756E" w:rsidP="00D83BCB">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543" w:type="pct"/>
            <w:tcBorders>
              <w:top w:val="nil"/>
              <w:left w:val="single" w:sz="4" w:space="0" w:color="auto"/>
              <w:bottom w:val="single" w:sz="4" w:space="0" w:color="auto"/>
              <w:right w:val="single" w:sz="4" w:space="0" w:color="auto"/>
            </w:tcBorders>
            <w:shd w:val="clear" w:color="auto" w:fill="auto"/>
            <w:noWrap/>
            <w:vAlign w:val="bottom"/>
            <w:hideMark/>
          </w:tcPr>
          <w:p w14:paraId="264CE0DF" w14:textId="69812C9D" w:rsidR="00D83BCB" w:rsidRPr="007C756E" w:rsidRDefault="007C756E" w:rsidP="00D83BCB">
            <w:pPr>
              <w:spacing w:line="240" w:lineRule="auto"/>
              <w:jc w:val="right"/>
              <w:rPr>
                <w:rFonts w:eastAsia="Times New Roman" w:cs="Arial"/>
                <w:b/>
                <w:bCs/>
                <w:color w:val="000000"/>
                <w:spacing w:val="0"/>
                <w:sz w:val="16"/>
                <w:szCs w:val="16"/>
                <w:lang w:val="en-US" w:eastAsia="en-US"/>
              </w:rPr>
            </w:pPr>
            <w:r>
              <w:rPr>
                <w:rFonts w:ascii="Arial" w:hAnsi="Arial" w:cs="Arial"/>
                <w:b/>
                <w:bCs/>
                <w:color w:val="000000"/>
                <w:sz w:val="20"/>
                <w:szCs w:val="20"/>
                <w:lang w:val="en-US"/>
              </w:rPr>
              <w:t>xx</w:t>
            </w:r>
          </w:p>
        </w:tc>
        <w:tc>
          <w:tcPr>
            <w:tcW w:w="413" w:type="pct"/>
            <w:tcBorders>
              <w:top w:val="nil"/>
              <w:left w:val="single" w:sz="4" w:space="0" w:color="auto"/>
              <w:bottom w:val="single" w:sz="4" w:space="0" w:color="auto"/>
              <w:right w:val="single" w:sz="8" w:space="0" w:color="auto"/>
            </w:tcBorders>
            <w:shd w:val="clear" w:color="auto" w:fill="auto"/>
            <w:noWrap/>
            <w:vAlign w:val="bottom"/>
            <w:hideMark/>
          </w:tcPr>
          <w:p w14:paraId="6E5B92DE" w14:textId="244294B2" w:rsidR="00D83BCB" w:rsidRPr="00D83BCB" w:rsidRDefault="00D83BCB" w:rsidP="00D83BCB">
            <w:pPr>
              <w:spacing w:line="240" w:lineRule="auto"/>
              <w:rPr>
                <w:rFonts w:eastAsia="Times New Roman" w:cs="Arial"/>
                <w:b/>
                <w:bCs/>
                <w:color w:val="000000"/>
                <w:spacing w:val="0"/>
                <w:sz w:val="16"/>
                <w:szCs w:val="16"/>
                <w:lang w:eastAsia="en-US"/>
              </w:rPr>
            </w:pPr>
            <w:r w:rsidRPr="00D83BCB">
              <w:rPr>
                <w:rFonts w:cs="Arial"/>
                <w:b/>
                <w:bCs/>
                <w:color w:val="000000"/>
                <w:sz w:val="16"/>
                <w:szCs w:val="16"/>
              </w:rPr>
              <w:t> </w:t>
            </w:r>
          </w:p>
        </w:tc>
      </w:tr>
      <w:tr w:rsidR="007C756E" w:rsidRPr="0057086A" w14:paraId="394FF9B2" w14:textId="77777777" w:rsidTr="007C756E">
        <w:trPr>
          <w:trHeight w:val="255"/>
        </w:trPr>
        <w:tc>
          <w:tcPr>
            <w:tcW w:w="763" w:type="pct"/>
            <w:vMerge/>
            <w:tcBorders>
              <w:top w:val="nil"/>
              <w:left w:val="single" w:sz="8" w:space="0" w:color="auto"/>
              <w:bottom w:val="single" w:sz="8" w:space="0" w:color="000000"/>
              <w:right w:val="single" w:sz="4" w:space="0" w:color="auto"/>
            </w:tcBorders>
            <w:vAlign w:val="center"/>
            <w:hideMark/>
          </w:tcPr>
          <w:p w14:paraId="0320A86F"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49" w:type="pct"/>
            <w:tcBorders>
              <w:top w:val="nil"/>
              <w:left w:val="nil"/>
              <w:bottom w:val="single" w:sz="4" w:space="0" w:color="auto"/>
              <w:right w:val="single" w:sz="4" w:space="0" w:color="auto"/>
            </w:tcBorders>
            <w:shd w:val="clear" w:color="auto" w:fill="auto"/>
            <w:noWrap/>
            <w:vAlign w:val="bottom"/>
            <w:hideMark/>
          </w:tcPr>
          <w:p w14:paraId="16EA52F0"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63" w:type="pct"/>
            <w:tcBorders>
              <w:top w:val="nil"/>
              <w:left w:val="nil"/>
              <w:bottom w:val="single" w:sz="4" w:space="0" w:color="auto"/>
              <w:right w:val="single" w:sz="4" w:space="0" w:color="auto"/>
            </w:tcBorders>
            <w:shd w:val="clear" w:color="auto" w:fill="auto"/>
            <w:noWrap/>
            <w:vAlign w:val="bottom"/>
            <w:hideMark/>
          </w:tcPr>
          <w:p w14:paraId="367C85E6"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4" w:space="0" w:color="auto"/>
              <w:right w:val="single" w:sz="4" w:space="0" w:color="auto"/>
            </w:tcBorders>
            <w:shd w:val="clear" w:color="auto" w:fill="auto"/>
            <w:noWrap/>
            <w:hideMark/>
          </w:tcPr>
          <w:p w14:paraId="6229A8B0" w14:textId="546D6591"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376F36">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7339437F" w14:textId="03AA2D46"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376F36">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76DF5DFD" w14:textId="784AD534"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376F36">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7225A0AD" w14:textId="2394941F"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376F36">
              <w:rPr>
                <w:rFonts w:cs="Arial"/>
                <w:color w:val="000000"/>
                <w:sz w:val="16"/>
                <w:szCs w:val="16"/>
                <w:lang w:val="en-US"/>
              </w:rPr>
              <w:t>x,xx</w:t>
            </w:r>
            <w:proofErr w:type="spellEnd"/>
            <w:proofErr w:type="gramEnd"/>
          </w:p>
        </w:tc>
        <w:tc>
          <w:tcPr>
            <w:tcW w:w="414" w:type="pct"/>
            <w:tcBorders>
              <w:top w:val="nil"/>
              <w:left w:val="nil"/>
              <w:bottom w:val="single" w:sz="4" w:space="0" w:color="auto"/>
              <w:right w:val="nil"/>
            </w:tcBorders>
            <w:shd w:val="clear" w:color="auto" w:fill="auto"/>
            <w:noWrap/>
            <w:hideMark/>
          </w:tcPr>
          <w:p w14:paraId="28921119" w14:textId="1412C690"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376F36">
              <w:rPr>
                <w:rFonts w:cs="Arial"/>
                <w:color w:val="000000"/>
                <w:sz w:val="16"/>
                <w:szCs w:val="16"/>
                <w:lang w:val="en-US"/>
              </w:rPr>
              <w:t>x,xx</w:t>
            </w:r>
            <w:proofErr w:type="spellEnd"/>
            <w:proofErr w:type="gramEnd"/>
          </w:p>
        </w:tc>
        <w:tc>
          <w:tcPr>
            <w:tcW w:w="543" w:type="pct"/>
            <w:tcBorders>
              <w:top w:val="nil"/>
              <w:left w:val="single" w:sz="4" w:space="0" w:color="auto"/>
              <w:bottom w:val="single" w:sz="4" w:space="0" w:color="auto"/>
              <w:right w:val="single" w:sz="4" w:space="0" w:color="auto"/>
            </w:tcBorders>
            <w:shd w:val="clear" w:color="auto" w:fill="auto"/>
            <w:noWrap/>
            <w:vAlign w:val="bottom"/>
            <w:hideMark/>
          </w:tcPr>
          <w:p w14:paraId="06A6B67D" w14:textId="22F85731"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single" w:sz="4" w:space="0" w:color="auto"/>
              <w:right w:val="single" w:sz="8" w:space="0" w:color="auto"/>
            </w:tcBorders>
            <w:shd w:val="clear" w:color="auto" w:fill="auto"/>
            <w:noWrap/>
            <w:vAlign w:val="bottom"/>
            <w:hideMark/>
          </w:tcPr>
          <w:p w14:paraId="44B39B0C" w14:textId="0B617178" w:rsidR="007C756E" w:rsidRPr="00D83BCB" w:rsidRDefault="007C756E" w:rsidP="007C756E">
            <w:pPr>
              <w:spacing w:line="240" w:lineRule="auto"/>
              <w:jc w:val="right"/>
              <w:rPr>
                <w:rFonts w:eastAsia="Times New Roman" w:cs="Arial"/>
                <w:color w:val="000000"/>
                <w:spacing w:val="0"/>
                <w:sz w:val="16"/>
                <w:szCs w:val="16"/>
                <w:lang w:eastAsia="en-US"/>
              </w:rPr>
            </w:pPr>
            <w:r>
              <w:rPr>
                <w:rFonts w:cs="Arial"/>
                <w:color w:val="000000"/>
                <w:sz w:val="16"/>
                <w:szCs w:val="16"/>
                <w:lang w:val="en-US"/>
              </w:rPr>
              <w:t>xx</w:t>
            </w:r>
          </w:p>
        </w:tc>
      </w:tr>
      <w:tr w:rsidR="007C756E" w:rsidRPr="0057086A" w14:paraId="4B4CEBC2" w14:textId="77777777" w:rsidTr="007C756E">
        <w:trPr>
          <w:trHeight w:val="255"/>
        </w:trPr>
        <w:tc>
          <w:tcPr>
            <w:tcW w:w="763" w:type="pct"/>
            <w:vMerge/>
            <w:tcBorders>
              <w:top w:val="nil"/>
              <w:left w:val="single" w:sz="8" w:space="0" w:color="auto"/>
              <w:bottom w:val="single" w:sz="8" w:space="0" w:color="000000"/>
              <w:right w:val="single" w:sz="4" w:space="0" w:color="auto"/>
            </w:tcBorders>
            <w:vAlign w:val="center"/>
            <w:hideMark/>
          </w:tcPr>
          <w:p w14:paraId="4C2AEF70"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49" w:type="pct"/>
            <w:tcBorders>
              <w:top w:val="nil"/>
              <w:left w:val="nil"/>
              <w:bottom w:val="single" w:sz="4" w:space="0" w:color="auto"/>
              <w:right w:val="single" w:sz="4" w:space="0" w:color="auto"/>
            </w:tcBorders>
            <w:shd w:val="clear" w:color="auto" w:fill="auto"/>
            <w:noWrap/>
            <w:vAlign w:val="bottom"/>
            <w:hideMark/>
          </w:tcPr>
          <w:p w14:paraId="26308A5C"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63" w:type="pct"/>
            <w:tcBorders>
              <w:top w:val="nil"/>
              <w:left w:val="nil"/>
              <w:bottom w:val="single" w:sz="4" w:space="0" w:color="auto"/>
              <w:right w:val="single" w:sz="4" w:space="0" w:color="auto"/>
            </w:tcBorders>
            <w:shd w:val="clear" w:color="auto" w:fill="auto"/>
            <w:noWrap/>
            <w:vAlign w:val="bottom"/>
            <w:hideMark/>
          </w:tcPr>
          <w:p w14:paraId="2F38A9C3"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4" w:space="0" w:color="auto"/>
              <w:right w:val="single" w:sz="4" w:space="0" w:color="auto"/>
            </w:tcBorders>
            <w:shd w:val="clear" w:color="auto" w:fill="auto"/>
            <w:noWrap/>
            <w:hideMark/>
          </w:tcPr>
          <w:p w14:paraId="2BD57C7A" w14:textId="018DD8DA"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1350A">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3815179B" w14:textId="3E2BB8C9"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1350A">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1C37737F" w14:textId="1029DD48"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1350A">
              <w:rPr>
                <w:rFonts w:cs="Arial"/>
                <w:color w:val="000000"/>
                <w:sz w:val="16"/>
                <w:szCs w:val="16"/>
                <w:lang w:val="en-US"/>
              </w:rPr>
              <w:t>x,xx</w:t>
            </w:r>
            <w:proofErr w:type="spellEnd"/>
            <w:proofErr w:type="gramEnd"/>
          </w:p>
        </w:tc>
        <w:tc>
          <w:tcPr>
            <w:tcW w:w="414" w:type="pct"/>
            <w:tcBorders>
              <w:top w:val="nil"/>
              <w:left w:val="nil"/>
              <w:bottom w:val="single" w:sz="4" w:space="0" w:color="auto"/>
              <w:right w:val="single" w:sz="4" w:space="0" w:color="auto"/>
            </w:tcBorders>
            <w:shd w:val="clear" w:color="auto" w:fill="auto"/>
            <w:noWrap/>
            <w:hideMark/>
          </w:tcPr>
          <w:p w14:paraId="16568EFA" w14:textId="500BC874"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1350A">
              <w:rPr>
                <w:rFonts w:cs="Arial"/>
                <w:color w:val="000000"/>
                <w:sz w:val="16"/>
                <w:szCs w:val="16"/>
                <w:lang w:val="en-US"/>
              </w:rPr>
              <w:t>x,xx</w:t>
            </w:r>
            <w:proofErr w:type="spellEnd"/>
            <w:proofErr w:type="gramEnd"/>
          </w:p>
        </w:tc>
        <w:tc>
          <w:tcPr>
            <w:tcW w:w="414" w:type="pct"/>
            <w:tcBorders>
              <w:top w:val="nil"/>
              <w:left w:val="nil"/>
              <w:bottom w:val="single" w:sz="4" w:space="0" w:color="auto"/>
              <w:right w:val="nil"/>
            </w:tcBorders>
            <w:shd w:val="clear" w:color="auto" w:fill="auto"/>
            <w:noWrap/>
            <w:hideMark/>
          </w:tcPr>
          <w:p w14:paraId="11B7DD5F" w14:textId="2212C554"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1350A">
              <w:rPr>
                <w:rFonts w:cs="Arial"/>
                <w:color w:val="000000"/>
                <w:sz w:val="16"/>
                <w:szCs w:val="16"/>
                <w:lang w:val="en-US"/>
              </w:rPr>
              <w:t>x,xx</w:t>
            </w:r>
            <w:proofErr w:type="spellEnd"/>
            <w:proofErr w:type="gramEnd"/>
          </w:p>
        </w:tc>
        <w:tc>
          <w:tcPr>
            <w:tcW w:w="543" w:type="pct"/>
            <w:tcBorders>
              <w:top w:val="nil"/>
              <w:left w:val="single" w:sz="4" w:space="0" w:color="auto"/>
              <w:bottom w:val="single" w:sz="4" w:space="0" w:color="auto"/>
              <w:right w:val="single" w:sz="4" w:space="0" w:color="auto"/>
            </w:tcBorders>
            <w:shd w:val="clear" w:color="auto" w:fill="auto"/>
            <w:noWrap/>
            <w:vAlign w:val="bottom"/>
            <w:hideMark/>
          </w:tcPr>
          <w:p w14:paraId="55B4431A" w14:textId="24915CED"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single" w:sz="4" w:space="0" w:color="auto"/>
              <w:right w:val="single" w:sz="8" w:space="0" w:color="auto"/>
            </w:tcBorders>
            <w:shd w:val="clear" w:color="auto" w:fill="auto"/>
            <w:noWrap/>
            <w:vAlign w:val="bottom"/>
            <w:hideMark/>
          </w:tcPr>
          <w:p w14:paraId="7F7F221F" w14:textId="34C431B1" w:rsidR="007C756E" w:rsidRPr="007C756E" w:rsidRDefault="007C756E" w:rsidP="007C756E">
            <w:pPr>
              <w:spacing w:line="240" w:lineRule="auto"/>
              <w:jc w:val="right"/>
              <w:rPr>
                <w:rFonts w:eastAsia="Times New Roman" w:cs="Arial"/>
                <w:color w:val="000000"/>
                <w:spacing w:val="0"/>
                <w:sz w:val="16"/>
                <w:szCs w:val="16"/>
                <w:lang w:val="en-US" w:eastAsia="en-US"/>
              </w:rPr>
            </w:pPr>
            <w:r>
              <w:rPr>
                <w:rFonts w:cs="Arial"/>
                <w:color w:val="000000"/>
                <w:sz w:val="16"/>
                <w:szCs w:val="16"/>
                <w:lang w:val="en-US"/>
              </w:rPr>
              <w:t>x</w:t>
            </w:r>
          </w:p>
        </w:tc>
      </w:tr>
      <w:tr w:rsidR="007C756E" w:rsidRPr="0057086A" w14:paraId="2510D0CB" w14:textId="77777777" w:rsidTr="007C756E">
        <w:trPr>
          <w:trHeight w:val="270"/>
        </w:trPr>
        <w:tc>
          <w:tcPr>
            <w:tcW w:w="763" w:type="pct"/>
            <w:vMerge/>
            <w:tcBorders>
              <w:top w:val="nil"/>
              <w:left w:val="single" w:sz="8" w:space="0" w:color="auto"/>
              <w:bottom w:val="single" w:sz="8" w:space="0" w:color="000000"/>
              <w:right w:val="single" w:sz="4" w:space="0" w:color="auto"/>
            </w:tcBorders>
            <w:vAlign w:val="center"/>
            <w:hideMark/>
          </w:tcPr>
          <w:p w14:paraId="60FD4BEA" w14:textId="77777777" w:rsidR="007C756E" w:rsidRPr="0057086A" w:rsidRDefault="007C756E" w:rsidP="007C756E">
            <w:pPr>
              <w:spacing w:line="240" w:lineRule="auto"/>
              <w:rPr>
                <w:rFonts w:eastAsia="Times New Roman" w:cs="Arial"/>
                <w:color w:val="000000"/>
                <w:spacing w:val="0"/>
                <w:sz w:val="16"/>
                <w:szCs w:val="16"/>
                <w:lang w:eastAsia="en-US"/>
              </w:rPr>
            </w:pPr>
          </w:p>
        </w:tc>
        <w:tc>
          <w:tcPr>
            <w:tcW w:w="749" w:type="pct"/>
            <w:tcBorders>
              <w:top w:val="nil"/>
              <w:left w:val="nil"/>
              <w:bottom w:val="single" w:sz="8" w:space="0" w:color="auto"/>
              <w:right w:val="single" w:sz="4" w:space="0" w:color="auto"/>
            </w:tcBorders>
            <w:shd w:val="clear" w:color="auto" w:fill="auto"/>
            <w:noWrap/>
            <w:vAlign w:val="bottom"/>
            <w:hideMark/>
          </w:tcPr>
          <w:p w14:paraId="7056330F" w14:textId="77777777" w:rsidR="007C756E" w:rsidRPr="0057086A" w:rsidRDefault="007C756E" w:rsidP="007C756E">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63" w:type="pct"/>
            <w:tcBorders>
              <w:top w:val="nil"/>
              <w:left w:val="nil"/>
              <w:bottom w:val="single" w:sz="8" w:space="0" w:color="auto"/>
              <w:right w:val="single" w:sz="4" w:space="0" w:color="auto"/>
            </w:tcBorders>
            <w:shd w:val="clear" w:color="auto" w:fill="auto"/>
            <w:noWrap/>
            <w:vAlign w:val="bottom"/>
            <w:hideMark/>
          </w:tcPr>
          <w:p w14:paraId="35F1CB99" w14:textId="77777777" w:rsidR="007C756E" w:rsidRPr="0057086A" w:rsidRDefault="007C756E" w:rsidP="007C756E">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4" w:type="pct"/>
            <w:tcBorders>
              <w:top w:val="nil"/>
              <w:left w:val="single" w:sz="4" w:space="0" w:color="auto"/>
              <w:bottom w:val="single" w:sz="8" w:space="0" w:color="auto"/>
              <w:right w:val="single" w:sz="4" w:space="0" w:color="auto"/>
            </w:tcBorders>
            <w:shd w:val="clear" w:color="auto" w:fill="auto"/>
            <w:noWrap/>
            <w:hideMark/>
          </w:tcPr>
          <w:p w14:paraId="181C7DE2" w14:textId="5049AC33"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1350A">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1815FDA7" w14:textId="3A83110F"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1350A">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1EB0AC23" w14:textId="6E902080"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1350A">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7AC88497" w14:textId="34D8115E"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1350A">
              <w:rPr>
                <w:rFonts w:cs="Arial"/>
                <w:color w:val="000000"/>
                <w:sz w:val="16"/>
                <w:szCs w:val="16"/>
                <w:lang w:val="en-US"/>
              </w:rPr>
              <w:t>x,xx</w:t>
            </w:r>
            <w:proofErr w:type="spellEnd"/>
            <w:proofErr w:type="gramEnd"/>
          </w:p>
        </w:tc>
        <w:tc>
          <w:tcPr>
            <w:tcW w:w="414" w:type="pct"/>
            <w:tcBorders>
              <w:top w:val="nil"/>
              <w:left w:val="nil"/>
              <w:bottom w:val="single" w:sz="8" w:space="0" w:color="auto"/>
              <w:right w:val="single" w:sz="4" w:space="0" w:color="auto"/>
            </w:tcBorders>
            <w:shd w:val="clear" w:color="auto" w:fill="auto"/>
            <w:noWrap/>
            <w:hideMark/>
          </w:tcPr>
          <w:p w14:paraId="799398CD" w14:textId="4F6565E8" w:rsidR="007C756E" w:rsidRPr="0057086A" w:rsidRDefault="007C756E" w:rsidP="007C756E">
            <w:pPr>
              <w:spacing w:line="240" w:lineRule="auto"/>
              <w:jc w:val="right"/>
              <w:rPr>
                <w:rFonts w:eastAsia="Times New Roman" w:cs="Arial"/>
                <w:color w:val="000000"/>
                <w:spacing w:val="0"/>
                <w:sz w:val="16"/>
                <w:szCs w:val="16"/>
                <w:lang w:eastAsia="en-US"/>
              </w:rPr>
            </w:pPr>
            <w:proofErr w:type="spellStart"/>
            <w:proofErr w:type="gramStart"/>
            <w:r w:rsidRPr="0041350A">
              <w:rPr>
                <w:rFonts w:cs="Arial"/>
                <w:color w:val="000000"/>
                <w:sz w:val="16"/>
                <w:szCs w:val="16"/>
                <w:lang w:val="en-US"/>
              </w:rPr>
              <w:t>x,xx</w:t>
            </w:r>
            <w:proofErr w:type="spellEnd"/>
            <w:proofErr w:type="gramEnd"/>
          </w:p>
        </w:tc>
        <w:tc>
          <w:tcPr>
            <w:tcW w:w="543" w:type="pct"/>
            <w:tcBorders>
              <w:top w:val="nil"/>
              <w:left w:val="single" w:sz="4" w:space="0" w:color="auto"/>
              <w:bottom w:val="single" w:sz="8" w:space="0" w:color="auto"/>
              <w:right w:val="single" w:sz="4" w:space="0" w:color="auto"/>
            </w:tcBorders>
            <w:shd w:val="clear" w:color="auto" w:fill="auto"/>
            <w:noWrap/>
            <w:vAlign w:val="bottom"/>
            <w:hideMark/>
          </w:tcPr>
          <w:p w14:paraId="2E59EBBB" w14:textId="547B4F69" w:rsidR="007C756E" w:rsidRPr="0057086A" w:rsidRDefault="007C756E" w:rsidP="007C756E">
            <w:pPr>
              <w:spacing w:line="240" w:lineRule="auto"/>
              <w:rPr>
                <w:rFonts w:eastAsia="Times New Roman" w:cs="Arial"/>
                <w:color w:val="000000"/>
                <w:spacing w:val="0"/>
                <w:sz w:val="16"/>
                <w:szCs w:val="16"/>
                <w:lang w:eastAsia="en-US"/>
              </w:rPr>
            </w:pPr>
            <w:r>
              <w:rPr>
                <w:rFonts w:ascii="Arial" w:hAnsi="Arial" w:cs="Arial"/>
                <w:color w:val="000000"/>
                <w:sz w:val="20"/>
                <w:szCs w:val="20"/>
              </w:rPr>
              <w:t> </w:t>
            </w:r>
          </w:p>
        </w:tc>
        <w:tc>
          <w:tcPr>
            <w:tcW w:w="413" w:type="pct"/>
            <w:tcBorders>
              <w:top w:val="nil"/>
              <w:left w:val="single" w:sz="4" w:space="0" w:color="auto"/>
              <w:bottom w:val="single" w:sz="8" w:space="0" w:color="auto"/>
              <w:right w:val="single" w:sz="8" w:space="0" w:color="auto"/>
            </w:tcBorders>
            <w:shd w:val="clear" w:color="auto" w:fill="auto"/>
            <w:noWrap/>
            <w:vAlign w:val="bottom"/>
            <w:hideMark/>
          </w:tcPr>
          <w:p w14:paraId="4AB53721" w14:textId="04692A76" w:rsidR="007C756E" w:rsidRPr="007C756E" w:rsidRDefault="007C756E" w:rsidP="007C756E">
            <w:pPr>
              <w:spacing w:line="240" w:lineRule="auto"/>
              <w:jc w:val="right"/>
              <w:rPr>
                <w:rFonts w:eastAsia="Times New Roman" w:cs="Arial"/>
                <w:color w:val="000000"/>
                <w:spacing w:val="0"/>
                <w:sz w:val="16"/>
                <w:szCs w:val="16"/>
                <w:lang w:val="en-US" w:eastAsia="en-US"/>
              </w:rPr>
            </w:pPr>
            <w:r>
              <w:rPr>
                <w:rFonts w:cs="Arial"/>
                <w:color w:val="000000"/>
                <w:sz w:val="16"/>
                <w:szCs w:val="16"/>
                <w:lang w:val="en-US"/>
              </w:rPr>
              <w:t>xx</w:t>
            </w:r>
          </w:p>
        </w:tc>
      </w:tr>
    </w:tbl>
    <w:p w14:paraId="0FC2FDD3" w14:textId="58F8123F" w:rsidR="0093789F" w:rsidRPr="0057086A" w:rsidRDefault="0093789F" w:rsidP="00825B2D">
      <w:pPr>
        <w:ind w:left="709"/>
      </w:pPr>
    </w:p>
    <w:p w14:paraId="3FE0E4FC" w14:textId="00A9F3D6" w:rsidR="0093789F" w:rsidRPr="0057086A" w:rsidRDefault="0093789F" w:rsidP="00825B2D">
      <w:pPr>
        <w:ind w:left="709"/>
      </w:pPr>
    </w:p>
    <w:p w14:paraId="743B609B" w14:textId="35E0D85D" w:rsidR="00CD0E4E" w:rsidRPr="004253F3" w:rsidRDefault="00173AE1" w:rsidP="00173AE1">
      <w:pPr>
        <w:ind w:left="709"/>
        <w:rPr>
          <w:color w:val="000000" w:themeColor="text1"/>
        </w:rPr>
      </w:pPr>
      <w:r w:rsidRPr="004253F3">
        <w:rPr>
          <w:color w:val="000000" w:themeColor="text1"/>
        </w:rPr>
        <w:t>Разходите за консумативи за производството са планирани спрямо производствените нужди кореспондиращи на прогнозираните количества топлинна и електрическа енергия за съответния период. Разходи за консумативи са планирани по месеци и по видове консумативи.</w:t>
      </w:r>
    </w:p>
    <w:p w14:paraId="5484D699" w14:textId="6A1AF962" w:rsidR="00BC51A5" w:rsidRPr="0057086A" w:rsidRDefault="00BC51A5" w:rsidP="00825B2D">
      <w:pPr>
        <w:ind w:left="709"/>
      </w:pPr>
    </w:p>
    <w:p w14:paraId="317FF098" w14:textId="5FD4FA74" w:rsidR="00AA223F" w:rsidRPr="0057086A" w:rsidRDefault="00C77F3A" w:rsidP="00825B2D">
      <w:pPr>
        <w:ind w:left="709"/>
      </w:pPr>
      <w:r w:rsidRPr="00C77F3A">
        <w:drawing>
          <wp:anchor distT="0" distB="0" distL="114300" distR="114300" simplePos="0" relativeHeight="251717632" behindDoc="0" locked="0" layoutInCell="1" allowOverlap="1" wp14:anchorId="5B786B67" wp14:editId="721A8F09">
            <wp:simplePos x="0" y="0"/>
            <wp:positionH relativeFrom="column">
              <wp:posOffset>1013460</wp:posOffset>
            </wp:positionH>
            <wp:positionV relativeFrom="paragraph">
              <wp:posOffset>69215</wp:posOffset>
            </wp:positionV>
            <wp:extent cx="4410000" cy="8650800"/>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410000" cy="8650800"/>
                    </a:xfrm>
                    <a:prstGeom prst="rect">
                      <a:avLst/>
                    </a:prstGeom>
                    <a:noFill/>
                    <a:ln>
                      <a:noFill/>
                    </a:ln>
                  </pic:spPr>
                </pic:pic>
              </a:graphicData>
            </a:graphic>
          </wp:anchor>
        </w:drawing>
      </w:r>
    </w:p>
    <w:p w14:paraId="5C631CE3" w14:textId="6D47354F" w:rsidR="00A12DCD" w:rsidRDefault="00A12DCD" w:rsidP="00917171">
      <w:pPr>
        <w:ind w:left="709"/>
        <w:rPr>
          <w:color w:val="000000" w:themeColor="text1"/>
        </w:rPr>
      </w:pPr>
    </w:p>
    <w:p w14:paraId="0C7B8DDA" w14:textId="3A8B89AE" w:rsidR="00A12DCD" w:rsidRDefault="00A12DCD" w:rsidP="00917171">
      <w:pPr>
        <w:ind w:left="709"/>
        <w:rPr>
          <w:color w:val="000000" w:themeColor="text1"/>
        </w:rPr>
      </w:pPr>
    </w:p>
    <w:p w14:paraId="6CD31D1D" w14:textId="7915DB70" w:rsidR="00A12DCD" w:rsidRDefault="00A12DCD" w:rsidP="00917171">
      <w:pPr>
        <w:ind w:left="709"/>
        <w:rPr>
          <w:color w:val="000000" w:themeColor="text1"/>
        </w:rPr>
      </w:pPr>
    </w:p>
    <w:p w14:paraId="7072524A" w14:textId="77777777" w:rsidR="00A12DCD" w:rsidRDefault="00A12DCD" w:rsidP="00917171">
      <w:pPr>
        <w:ind w:left="709"/>
        <w:rPr>
          <w:color w:val="000000" w:themeColor="text1"/>
        </w:rPr>
      </w:pPr>
    </w:p>
    <w:p w14:paraId="633F297B" w14:textId="77777777" w:rsidR="00A12DCD" w:rsidRDefault="00A12DCD" w:rsidP="00917171">
      <w:pPr>
        <w:ind w:left="709"/>
        <w:rPr>
          <w:color w:val="000000" w:themeColor="text1"/>
        </w:rPr>
      </w:pPr>
    </w:p>
    <w:p w14:paraId="417163AD" w14:textId="77777777" w:rsidR="00A12DCD" w:rsidRDefault="00A12DCD" w:rsidP="00917171">
      <w:pPr>
        <w:ind w:left="709"/>
        <w:rPr>
          <w:color w:val="000000" w:themeColor="text1"/>
        </w:rPr>
      </w:pPr>
    </w:p>
    <w:p w14:paraId="2EBEDA9C" w14:textId="77777777" w:rsidR="00A12DCD" w:rsidRDefault="00A12DCD" w:rsidP="00917171">
      <w:pPr>
        <w:ind w:left="709"/>
        <w:rPr>
          <w:color w:val="000000" w:themeColor="text1"/>
        </w:rPr>
      </w:pPr>
    </w:p>
    <w:p w14:paraId="189F700A" w14:textId="77777777" w:rsidR="00A12DCD" w:rsidRDefault="00A12DCD" w:rsidP="00917171">
      <w:pPr>
        <w:ind w:left="709"/>
        <w:rPr>
          <w:color w:val="000000" w:themeColor="text1"/>
        </w:rPr>
      </w:pPr>
    </w:p>
    <w:p w14:paraId="294DD0F2" w14:textId="77777777" w:rsidR="00A12DCD" w:rsidRDefault="00A12DCD" w:rsidP="00917171">
      <w:pPr>
        <w:ind w:left="709"/>
        <w:rPr>
          <w:color w:val="000000" w:themeColor="text1"/>
        </w:rPr>
      </w:pPr>
    </w:p>
    <w:p w14:paraId="52460CD8" w14:textId="77777777" w:rsidR="00A12DCD" w:rsidRDefault="00A12DCD" w:rsidP="00917171">
      <w:pPr>
        <w:ind w:left="709"/>
        <w:rPr>
          <w:color w:val="000000" w:themeColor="text1"/>
        </w:rPr>
      </w:pPr>
    </w:p>
    <w:p w14:paraId="7410739C" w14:textId="77777777" w:rsidR="00A12DCD" w:rsidRDefault="00A12DCD" w:rsidP="00917171">
      <w:pPr>
        <w:ind w:left="709"/>
        <w:rPr>
          <w:color w:val="000000" w:themeColor="text1"/>
        </w:rPr>
      </w:pPr>
    </w:p>
    <w:p w14:paraId="707C4DDC" w14:textId="77777777" w:rsidR="00A12DCD" w:rsidRDefault="00A12DCD" w:rsidP="00917171">
      <w:pPr>
        <w:ind w:left="709"/>
        <w:rPr>
          <w:color w:val="000000" w:themeColor="text1"/>
        </w:rPr>
      </w:pPr>
    </w:p>
    <w:p w14:paraId="56C40D45" w14:textId="77777777" w:rsidR="00A12DCD" w:rsidRDefault="00A12DCD" w:rsidP="00917171">
      <w:pPr>
        <w:ind w:left="709"/>
        <w:rPr>
          <w:color w:val="000000" w:themeColor="text1"/>
        </w:rPr>
      </w:pPr>
    </w:p>
    <w:p w14:paraId="76E99C6E" w14:textId="77777777" w:rsidR="00A12DCD" w:rsidRDefault="00A12DCD" w:rsidP="00917171">
      <w:pPr>
        <w:ind w:left="709"/>
        <w:rPr>
          <w:color w:val="000000" w:themeColor="text1"/>
        </w:rPr>
      </w:pPr>
    </w:p>
    <w:p w14:paraId="0CB1FD10" w14:textId="77777777" w:rsidR="00A12DCD" w:rsidRDefault="00A12DCD" w:rsidP="00917171">
      <w:pPr>
        <w:ind w:left="709"/>
        <w:rPr>
          <w:color w:val="000000" w:themeColor="text1"/>
        </w:rPr>
      </w:pPr>
    </w:p>
    <w:p w14:paraId="50B2D877" w14:textId="77777777" w:rsidR="00A12DCD" w:rsidRDefault="00A12DCD" w:rsidP="00917171">
      <w:pPr>
        <w:ind w:left="709"/>
        <w:rPr>
          <w:color w:val="000000" w:themeColor="text1"/>
        </w:rPr>
      </w:pPr>
    </w:p>
    <w:p w14:paraId="149386DD" w14:textId="77777777" w:rsidR="00A12DCD" w:rsidRDefault="00A12DCD" w:rsidP="00917171">
      <w:pPr>
        <w:ind w:left="709"/>
        <w:rPr>
          <w:color w:val="000000" w:themeColor="text1"/>
        </w:rPr>
      </w:pPr>
    </w:p>
    <w:p w14:paraId="56548DF5" w14:textId="77777777" w:rsidR="00A12DCD" w:rsidRDefault="00A12DCD" w:rsidP="00917171">
      <w:pPr>
        <w:ind w:left="709"/>
        <w:rPr>
          <w:color w:val="000000" w:themeColor="text1"/>
        </w:rPr>
      </w:pPr>
    </w:p>
    <w:p w14:paraId="3DC843A0" w14:textId="77777777" w:rsidR="00A12DCD" w:rsidRDefault="00A12DCD" w:rsidP="00917171">
      <w:pPr>
        <w:ind w:left="709"/>
        <w:rPr>
          <w:color w:val="000000" w:themeColor="text1"/>
        </w:rPr>
      </w:pPr>
    </w:p>
    <w:p w14:paraId="47B4D61C" w14:textId="77777777" w:rsidR="00A12DCD" w:rsidRDefault="00A12DCD" w:rsidP="00917171">
      <w:pPr>
        <w:ind w:left="709"/>
        <w:rPr>
          <w:color w:val="000000" w:themeColor="text1"/>
        </w:rPr>
      </w:pPr>
    </w:p>
    <w:p w14:paraId="70822C73" w14:textId="77777777" w:rsidR="00A12DCD" w:rsidRDefault="00A12DCD" w:rsidP="00917171">
      <w:pPr>
        <w:ind w:left="709"/>
        <w:rPr>
          <w:color w:val="000000" w:themeColor="text1"/>
        </w:rPr>
      </w:pPr>
    </w:p>
    <w:p w14:paraId="35027C8E" w14:textId="77777777" w:rsidR="00A12DCD" w:rsidRDefault="00A12DCD" w:rsidP="00917171">
      <w:pPr>
        <w:ind w:left="709"/>
        <w:rPr>
          <w:color w:val="000000" w:themeColor="text1"/>
        </w:rPr>
      </w:pPr>
    </w:p>
    <w:p w14:paraId="7DD4B831" w14:textId="77777777" w:rsidR="00A12DCD" w:rsidRDefault="00A12DCD" w:rsidP="00917171">
      <w:pPr>
        <w:ind w:left="709"/>
        <w:rPr>
          <w:color w:val="000000" w:themeColor="text1"/>
        </w:rPr>
      </w:pPr>
    </w:p>
    <w:p w14:paraId="15915138" w14:textId="77777777" w:rsidR="00A12DCD" w:rsidRDefault="00A12DCD" w:rsidP="00917171">
      <w:pPr>
        <w:ind w:left="709"/>
        <w:rPr>
          <w:color w:val="000000" w:themeColor="text1"/>
        </w:rPr>
      </w:pPr>
    </w:p>
    <w:p w14:paraId="3DAEB539" w14:textId="77777777" w:rsidR="00A12DCD" w:rsidRDefault="00A12DCD" w:rsidP="00917171">
      <w:pPr>
        <w:ind w:left="709"/>
        <w:rPr>
          <w:color w:val="000000" w:themeColor="text1"/>
        </w:rPr>
      </w:pPr>
    </w:p>
    <w:p w14:paraId="1469AA94" w14:textId="77777777" w:rsidR="00A12DCD" w:rsidRDefault="00A12DCD" w:rsidP="00917171">
      <w:pPr>
        <w:ind w:left="709"/>
        <w:rPr>
          <w:color w:val="000000" w:themeColor="text1"/>
        </w:rPr>
      </w:pPr>
    </w:p>
    <w:p w14:paraId="06693320" w14:textId="77777777" w:rsidR="00A12DCD" w:rsidRDefault="00A12DCD" w:rsidP="00917171">
      <w:pPr>
        <w:ind w:left="709"/>
        <w:rPr>
          <w:color w:val="000000" w:themeColor="text1"/>
        </w:rPr>
      </w:pPr>
    </w:p>
    <w:p w14:paraId="4B858E19" w14:textId="77777777" w:rsidR="00A12DCD" w:rsidRDefault="00A12DCD" w:rsidP="00917171">
      <w:pPr>
        <w:ind w:left="709"/>
        <w:rPr>
          <w:color w:val="000000" w:themeColor="text1"/>
        </w:rPr>
      </w:pPr>
    </w:p>
    <w:p w14:paraId="3DB66E33" w14:textId="77777777" w:rsidR="00A12DCD" w:rsidRDefault="00A12DCD" w:rsidP="00917171">
      <w:pPr>
        <w:ind w:left="709"/>
        <w:rPr>
          <w:color w:val="000000" w:themeColor="text1"/>
        </w:rPr>
      </w:pPr>
    </w:p>
    <w:p w14:paraId="3362386C" w14:textId="77777777" w:rsidR="00A12DCD" w:rsidRDefault="00A12DCD" w:rsidP="00917171">
      <w:pPr>
        <w:ind w:left="709"/>
        <w:rPr>
          <w:color w:val="000000" w:themeColor="text1"/>
        </w:rPr>
      </w:pPr>
    </w:p>
    <w:p w14:paraId="66AFEFD9" w14:textId="77777777" w:rsidR="00A12DCD" w:rsidRDefault="00A12DCD" w:rsidP="00917171">
      <w:pPr>
        <w:ind w:left="709"/>
        <w:rPr>
          <w:color w:val="000000" w:themeColor="text1"/>
        </w:rPr>
      </w:pPr>
    </w:p>
    <w:p w14:paraId="1021EBFF" w14:textId="77777777" w:rsidR="00A12DCD" w:rsidRDefault="00A12DCD" w:rsidP="00917171">
      <w:pPr>
        <w:ind w:left="709"/>
        <w:rPr>
          <w:color w:val="000000" w:themeColor="text1"/>
        </w:rPr>
      </w:pPr>
    </w:p>
    <w:p w14:paraId="18580D96" w14:textId="77777777" w:rsidR="00A12DCD" w:rsidRDefault="00A12DCD" w:rsidP="00917171">
      <w:pPr>
        <w:ind w:left="709"/>
        <w:rPr>
          <w:color w:val="000000" w:themeColor="text1"/>
        </w:rPr>
      </w:pPr>
    </w:p>
    <w:p w14:paraId="01B8D442" w14:textId="77777777" w:rsidR="00A12DCD" w:rsidRDefault="00A12DCD" w:rsidP="00917171">
      <w:pPr>
        <w:ind w:left="709"/>
        <w:rPr>
          <w:color w:val="000000" w:themeColor="text1"/>
        </w:rPr>
      </w:pPr>
    </w:p>
    <w:p w14:paraId="467BB510" w14:textId="77777777" w:rsidR="00A12DCD" w:rsidRDefault="00A12DCD" w:rsidP="00917171">
      <w:pPr>
        <w:ind w:left="709"/>
        <w:rPr>
          <w:color w:val="000000" w:themeColor="text1"/>
        </w:rPr>
      </w:pPr>
    </w:p>
    <w:p w14:paraId="6BCFD129" w14:textId="77777777" w:rsidR="00A12DCD" w:rsidRDefault="00A12DCD" w:rsidP="00917171">
      <w:pPr>
        <w:ind w:left="709"/>
        <w:rPr>
          <w:color w:val="000000" w:themeColor="text1"/>
        </w:rPr>
      </w:pPr>
    </w:p>
    <w:p w14:paraId="49D02847" w14:textId="77777777" w:rsidR="00A12DCD" w:rsidRDefault="00A12DCD" w:rsidP="00917171">
      <w:pPr>
        <w:ind w:left="709"/>
        <w:rPr>
          <w:color w:val="000000" w:themeColor="text1"/>
        </w:rPr>
      </w:pPr>
    </w:p>
    <w:p w14:paraId="6B29F2E4" w14:textId="77777777" w:rsidR="00A12DCD" w:rsidRDefault="00A12DCD" w:rsidP="00917171">
      <w:pPr>
        <w:ind w:left="709"/>
        <w:rPr>
          <w:color w:val="000000" w:themeColor="text1"/>
        </w:rPr>
      </w:pPr>
    </w:p>
    <w:p w14:paraId="2082BB40" w14:textId="77777777" w:rsidR="00A12DCD" w:rsidRDefault="00A12DCD" w:rsidP="00917171">
      <w:pPr>
        <w:ind w:left="709"/>
        <w:rPr>
          <w:color w:val="000000" w:themeColor="text1"/>
        </w:rPr>
      </w:pPr>
    </w:p>
    <w:p w14:paraId="5435E09B" w14:textId="77777777" w:rsidR="00A12DCD" w:rsidRDefault="00A12DCD" w:rsidP="00917171">
      <w:pPr>
        <w:ind w:left="709"/>
        <w:rPr>
          <w:color w:val="000000" w:themeColor="text1"/>
        </w:rPr>
      </w:pPr>
    </w:p>
    <w:p w14:paraId="5B02D73D" w14:textId="77777777" w:rsidR="00A12DCD" w:rsidRDefault="00A12DCD" w:rsidP="00917171">
      <w:pPr>
        <w:ind w:left="709"/>
        <w:rPr>
          <w:color w:val="000000" w:themeColor="text1"/>
        </w:rPr>
      </w:pPr>
    </w:p>
    <w:p w14:paraId="2C3E0BFA" w14:textId="77777777" w:rsidR="00A12DCD" w:rsidRDefault="00A12DCD" w:rsidP="00917171">
      <w:pPr>
        <w:ind w:left="709"/>
        <w:rPr>
          <w:color w:val="000000" w:themeColor="text1"/>
        </w:rPr>
      </w:pPr>
    </w:p>
    <w:p w14:paraId="30A4E04A" w14:textId="77777777" w:rsidR="00A12DCD" w:rsidRDefault="00A12DCD" w:rsidP="00917171">
      <w:pPr>
        <w:ind w:left="709"/>
        <w:rPr>
          <w:color w:val="000000" w:themeColor="text1"/>
        </w:rPr>
      </w:pPr>
    </w:p>
    <w:p w14:paraId="07D662D8" w14:textId="77777777" w:rsidR="00A12DCD" w:rsidRDefault="00A12DCD" w:rsidP="00917171">
      <w:pPr>
        <w:ind w:left="709"/>
        <w:rPr>
          <w:color w:val="000000" w:themeColor="text1"/>
        </w:rPr>
      </w:pPr>
    </w:p>
    <w:p w14:paraId="37CE888F" w14:textId="77777777" w:rsidR="00A12DCD" w:rsidRDefault="00A12DCD" w:rsidP="00917171">
      <w:pPr>
        <w:ind w:left="709"/>
        <w:rPr>
          <w:color w:val="000000" w:themeColor="text1"/>
        </w:rPr>
      </w:pPr>
    </w:p>
    <w:p w14:paraId="50B6CA2F" w14:textId="77777777" w:rsidR="00A12DCD" w:rsidRDefault="00A12DCD" w:rsidP="00917171">
      <w:pPr>
        <w:ind w:left="709"/>
        <w:rPr>
          <w:color w:val="000000" w:themeColor="text1"/>
        </w:rPr>
      </w:pPr>
    </w:p>
    <w:p w14:paraId="6E752A57" w14:textId="77777777" w:rsidR="00A12DCD" w:rsidRDefault="00A12DCD" w:rsidP="00917171">
      <w:pPr>
        <w:ind w:left="709"/>
        <w:rPr>
          <w:color w:val="000000" w:themeColor="text1"/>
        </w:rPr>
      </w:pPr>
    </w:p>
    <w:p w14:paraId="5F61C841" w14:textId="77777777" w:rsidR="00A12DCD" w:rsidRDefault="00A12DCD" w:rsidP="00917171">
      <w:pPr>
        <w:ind w:left="709"/>
        <w:rPr>
          <w:color w:val="000000" w:themeColor="text1"/>
        </w:rPr>
      </w:pPr>
    </w:p>
    <w:p w14:paraId="462AA4F9" w14:textId="696E1F47" w:rsidR="00917171" w:rsidRPr="004253F3" w:rsidRDefault="00917171" w:rsidP="00917171">
      <w:pPr>
        <w:ind w:left="709"/>
        <w:rPr>
          <w:color w:val="000000" w:themeColor="text1"/>
        </w:rPr>
      </w:pPr>
      <w:r w:rsidRPr="004253F3">
        <w:rPr>
          <w:color w:val="000000" w:themeColor="text1"/>
        </w:rPr>
        <w:lastRenderedPageBreak/>
        <w:t xml:space="preserve">Разхода за акциз на природния газ възлиза на </w:t>
      </w:r>
      <w:r w:rsidR="003569D9">
        <w:rPr>
          <w:color w:val="000000" w:themeColor="text1"/>
          <w:lang w:val="en-US"/>
        </w:rPr>
        <w:t>x xxx</w:t>
      </w:r>
      <w:r w:rsidRPr="004253F3">
        <w:rPr>
          <w:color w:val="000000" w:themeColor="text1"/>
        </w:rPr>
        <w:t xml:space="preserve"> хил. лв. :</w:t>
      </w:r>
    </w:p>
    <w:p w14:paraId="51E568DB" w14:textId="27FECB83" w:rsidR="00AA223F" w:rsidRPr="004253F3" w:rsidRDefault="00AA223F" w:rsidP="00825B2D">
      <w:pPr>
        <w:ind w:left="709"/>
        <w:rPr>
          <w:color w:val="000000" w:themeColor="text1"/>
        </w:rPr>
      </w:pPr>
    </w:p>
    <w:p w14:paraId="117BE430" w14:textId="77777777" w:rsidR="00AA223F" w:rsidRPr="004253F3" w:rsidRDefault="00AA223F" w:rsidP="00AA223F">
      <w:pPr>
        <w:ind w:left="709"/>
        <w:rPr>
          <w:color w:val="000000" w:themeColor="text1"/>
        </w:rPr>
      </w:pPr>
      <w:r w:rsidRPr="004253F3">
        <w:rPr>
          <w:color w:val="000000" w:themeColor="text1"/>
        </w:rPr>
        <w:t xml:space="preserve">Не се прогнозират разходи за външни услуги в променливите разходи. </w:t>
      </w:r>
    </w:p>
    <w:p w14:paraId="74D21FE7" w14:textId="77777777" w:rsidR="00AA223F" w:rsidRPr="0057086A" w:rsidRDefault="00AA223F" w:rsidP="00825B2D">
      <w:pPr>
        <w:ind w:left="709"/>
      </w:pPr>
    </w:p>
    <w:p w14:paraId="45559659" w14:textId="757C1298" w:rsidR="00594CB9" w:rsidRPr="0057086A" w:rsidRDefault="00594CB9" w:rsidP="00226ECF">
      <w:pPr>
        <w:pStyle w:val="Heading3"/>
        <w:numPr>
          <w:ilvl w:val="3"/>
          <w:numId w:val="12"/>
        </w:numPr>
        <w:tabs>
          <w:tab w:val="clear" w:pos="709"/>
        </w:tabs>
        <w:spacing w:before="240" w:line="240" w:lineRule="auto"/>
        <w:rPr>
          <w:b/>
          <w:sz w:val="20"/>
        </w:rPr>
      </w:pPr>
      <w:r w:rsidRPr="0057086A">
        <w:rPr>
          <w:b/>
          <w:sz w:val="20"/>
        </w:rPr>
        <w:t>Разходи за въглеродни емисии</w:t>
      </w:r>
    </w:p>
    <w:p w14:paraId="1D519C92" w14:textId="2C162F31" w:rsidR="00594CB9" w:rsidRPr="0057086A" w:rsidRDefault="00594CB9" w:rsidP="00594CB9"/>
    <w:p w14:paraId="4F874DDA" w14:textId="77777777" w:rsidR="004E3D1F" w:rsidRPr="0057086A" w:rsidRDefault="004E3D1F" w:rsidP="004E3D1F">
      <w:pPr>
        <w:ind w:left="709"/>
      </w:pPr>
      <w:r w:rsidRPr="0057086A">
        <w:t xml:space="preserve">Всички горивни инсталации, които се експлоатират на площадките на двете отоплителни централи собственост на „ЕВН България Топлофикация“ ЕАД са включени в </w:t>
      </w:r>
      <w:r w:rsidRPr="0057086A">
        <w:rPr>
          <w:b/>
        </w:rPr>
        <w:t>Европейската схема за търговия с емисии (ЕСТЕ)</w:t>
      </w:r>
      <w:r w:rsidRPr="0057086A">
        <w:t xml:space="preserve">, съгласно Директива 2003/87/ЕО за установяване на схема за търговия с квоти за емисии на парникови газове в рамките на Общността. </w:t>
      </w:r>
    </w:p>
    <w:p w14:paraId="14C29078" w14:textId="77777777" w:rsidR="004E3D1F" w:rsidRPr="0057086A" w:rsidRDefault="004E3D1F" w:rsidP="004E3D1F">
      <w:pPr>
        <w:ind w:left="709"/>
      </w:pPr>
    </w:p>
    <w:p w14:paraId="072D1122" w14:textId="77777777" w:rsidR="004E3D1F" w:rsidRDefault="004E3D1F" w:rsidP="004E3D1F">
      <w:pPr>
        <w:ind w:left="709"/>
      </w:pPr>
      <w:r w:rsidRPr="0057086A">
        <w:t xml:space="preserve">От 01.01.2021 г. влезе в сила следващата </w:t>
      </w:r>
      <w:r w:rsidRPr="0057086A">
        <w:rPr>
          <w:b/>
        </w:rPr>
        <w:t>IV-та фаза на Схемата за търговия с емисии на парникови газове</w:t>
      </w:r>
      <w:r w:rsidRPr="0057086A">
        <w:t xml:space="preserve"> на Европейският съюз (СТЕ на ЕС), която обхваща периода 2021 – 2030 г. включително, като този период е разделен на два етапа: 2021 – 2025 г. и 2026 – 2030 г. През тази фаза остава възможността за безплатно разпределяне на квоти за емисии на парникови газове на операторите на инсталации за производство само на топлинна енергия, но количеството квоти е значително занижено в сравнение с предходните три фази на СТЕ. Също така се променят и правилата за разпределение, като то се обвързва с промените в реалната работа на инсталациите и при промяна в равнището на активност с повече от 10% на годишна база, се преизчислява количеството на предварително разпределените безплатни квоти.</w:t>
      </w:r>
    </w:p>
    <w:p w14:paraId="66F6E80B" w14:textId="77777777" w:rsidR="004E3D1F" w:rsidRDefault="004E3D1F" w:rsidP="004E3D1F">
      <w:pPr>
        <w:ind w:left="709"/>
      </w:pPr>
      <w:r w:rsidRPr="001D0D29">
        <w:t xml:space="preserve">На база резултатите от направените изчисления за равнището на активност, „ЕВН България Топлофикация“ ЕАД изготви Доклади за разпределянето на квоти на нови участници, промяна в равнището на разпределяне и случаите на спиране на експлоатацията на инсталации за Фаза 4 на СТЕ на ЕС за инсталациите „ТЕЦ Пловдив-Север“ и ОЦ „Пловдив-Юг“. Докладите са верифицирани от независим </w:t>
      </w:r>
      <w:proofErr w:type="spellStart"/>
      <w:r w:rsidRPr="001D0D29">
        <w:t>верификатор</w:t>
      </w:r>
      <w:proofErr w:type="spellEnd"/>
      <w:r w:rsidRPr="001D0D29">
        <w:t xml:space="preserve"> и са внесени в МОСВ, в съответствие с изискванията на Закона за ограничаване на изменението на климата. За 2022 г. е отчетена промяна над 10% в равнището на активност на инсталациите, разположени на площадката на ОЦ „Пловдив-Юг“, което се отразява в промяна на предварително разпределените безплатни квоти за тези инсталации, считано от 2023 г.</w:t>
      </w:r>
    </w:p>
    <w:p w14:paraId="2930CBA8" w14:textId="77777777" w:rsidR="004E3D1F" w:rsidRPr="0057086A" w:rsidRDefault="004E3D1F" w:rsidP="004E3D1F">
      <w:pPr>
        <w:ind w:left="709"/>
      </w:pPr>
      <w:r>
        <w:t>След извършената корекция във връзка с промяната на равнището на активност, общо за двете централи са разпределени безплатни квоти в следния размер:</w:t>
      </w:r>
    </w:p>
    <w:p w14:paraId="5001C7D1" w14:textId="77777777" w:rsidR="004E3D1F" w:rsidRPr="0057086A" w:rsidRDefault="004E3D1F" w:rsidP="004E3D1F">
      <w:pPr>
        <w:ind w:left="709"/>
      </w:pPr>
    </w:p>
    <w:tbl>
      <w:tblPr>
        <w:tblStyle w:val="TableGrid"/>
        <w:tblW w:w="8641" w:type="dxa"/>
        <w:tblLook w:val="04A0" w:firstRow="1" w:lastRow="0" w:firstColumn="1" w:lastColumn="0" w:noHBand="0" w:noVBand="1"/>
      </w:tblPr>
      <w:tblGrid>
        <w:gridCol w:w="1838"/>
        <w:gridCol w:w="1015"/>
        <w:gridCol w:w="1158"/>
        <w:gridCol w:w="1157"/>
        <w:gridCol w:w="1158"/>
        <w:gridCol w:w="1157"/>
        <w:gridCol w:w="1158"/>
      </w:tblGrid>
      <w:tr w:rsidR="004E3D1F" w:rsidRPr="0057086A" w14:paraId="4B78F765" w14:textId="77777777" w:rsidTr="004A15EC">
        <w:tc>
          <w:tcPr>
            <w:tcW w:w="1838" w:type="dxa"/>
            <w:tcBorders>
              <w:bottom w:val="single" w:sz="4" w:space="0" w:color="auto"/>
            </w:tcBorders>
            <w:shd w:val="clear" w:color="auto" w:fill="777777" w:themeFill="background1" w:themeFillShade="D9"/>
          </w:tcPr>
          <w:p w14:paraId="6F5B8A52" w14:textId="77777777" w:rsidR="004E3D1F" w:rsidRPr="0057086A" w:rsidRDefault="004E3D1F" w:rsidP="004A15EC">
            <w:pPr>
              <w:rPr>
                <w:b/>
              </w:rPr>
            </w:pPr>
            <w:r w:rsidRPr="0057086A">
              <w:rPr>
                <w:b/>
              </w:rPr>
              <w:t xml:space="preserve">Период </w:t>
            </w:r>
          </w:p>
        </w:tc>
        <w:tc>
          <w:tcPr>
            <w:tcW w:w="1015" w:type="dxa"/>
            <w:tcBorders>
              <w:bottom w:val="single" w:sz="4" w:space="0" w:color="auto"/>
            </w:tcBorders>
            <w:shd w:val="clear" w:color="auto" w:fill="777777" w:themeFill="background1" w:themeFillShade="D9"/>
          </w:tcPr>
          <w:p w14:paraId="25D64D1F" w14:textId="77777777" w:rsidR="004E3D1F" w:rsidRPr="0057086A" w:rsidRDefault="004E3D1F" w:rsidP="004A15EC">
            <w:pPr>
              <w:jc w:val="center"/>
            </w:pPr>
            <w:r w:rsidRPr="0057086A">
              <w:t>2021</w:t>
            </w:r>
          </w:p>
        </w:tc>
        <w:tc>
          <w:tcPr>
            <w:tcW w:w="1158" w:type="dxa"/>
            <w:tcBorders>
              <w:bottom w:val="single" w:sz="4" w:space="0" w:color="auto"/>
            </w:tcBorders>
            <w:shd w:val="clear" w:color="auto" w:fill="777777" w:themeFill="background1" w:themeFillShade="D9"/>
          </w:tcPr>
          <w:p w14:paraId="2959764E" w14:textId="77777777" w:rsidR="004E3D1F" w:rsidRPr="0057086A" w:rsidRDefault="004E3D1F" w:rsidP="004A15EC">
            <w:pPr>
              <w:jc w:val="center"/>
            </w:pPr>
            <w:r w:rsidRPr="0057086A">
              <w:t>2022</w:t>
            </w:r>
          </w:p>
        </w:tc>
        <w:tc>
          <w:tcPr>
            <w:tcW w:w="1157" w:type="dxa"/>
            <w:tcBorders>
              <w:bottom w:val="single" w:sz="4" w:space="0" w:color="auto"/>
            </w:tcBorders>
            <w:shd w:val="clear" w:color="auto" w:fill="777777" w:themeFill="background1" w:themeFillShade="D9"/>
          </w:tcPr>
          <w:p w14:paraId="681C5238" w14:textId="77777777" w:rsidR="004E3D1F" w:rsidRPr="0057086A" w:rsidRDefault="004E3D1F" w:rsidP="004A15EC">
            <w:pPr>
              <w:jc w:val="center"/>
            </w:pPr>
            <w:r w:rsidRPr="0057086A">
              <w:t>2023</w:t>
            </w:r>
          </w:p>
        </w:tc>
        <w:tc>
          <w:tcPr>
            <w:tcW w:w="1158" w:type="dxa"/>
            <w:tcBorders>
              <w:bottom w:val="single" w:sz="4" w:space="0" w:color="auto"/>
            </w:tcBorders>
            <w:shd w:val="clear" w:color="auto" w:fill="777777" w:themeFill="background1" w:themeFillShade="D9"/>
          </w:tcPr>
          <w:p w14:paraId="218B1DEA" w14:textId="77777777" w:rsidR="004E3D1F" w:rsidRPr="0057086A" w:rsidRDefault="004E3D1F" w:rsidP="004A15EC">
            <w:pPr>
              <w:jc w:val="center"/>
            </w:pPr>
            <w:r w:rsidRPr="0057086A">
              <w:t>2024</w:t>
            </w:r>
          </w:p>
        </w:tc>
        <w:tc>
          <w:tcPr>
            <w:tcW w:w="1157" w:type="dxa"/>
            <w:tcBorders>
              <w:bottom w:val="single" w:sz="4" w:space="0" w:color="auto"/>
            </w:tcBorders>
            <w:shd w:val="clear" w:color="auto" w:fill="777777" w:themeFill="background1" w:themeFillShade="D9"/>
          </w:tcPr>
          <w:p w14:paraId="71075F3D" w14:textId="77777777" w:rsidR="004E3D1F" w:rsidRPr="0057086A" w:rsidRDefault="004E3D1F" w:rsidP="004A15EC">
            <w:pPr>
              <w:jc w:val="center"/>
            </w:pPr>
            <w:r w:rsidRPr="0057086A">
              <w:t>2025</w:t>
            </w:r>
          </w:p>
        </w:tc>
        <w:tc>
          <w:tcPr>
            <w:tcW w:w="1158" w:type="dxa"/>
            <w:tcBorders>
              <w:bottom w:val="single" w:sz="4" w:space="0" w:color="auto"/>
            </w:tcBorders>
            <w:shd w:val="clear" w:color="auto" w:fill="777777" w:themeFill="background1" w:themeFillShade="D9"/>
          </w:tcPr>
          <w:p w14:paraId="42DDA112" w14:textId="77777777" w:rsidR="004E3D1F" w:rsidRPr="0057086A" w:rsidRDefault="004E3D1F" w:rsidP="004A15EC">
            <w:pPr>
              <w:jc w:val="center"/>
              <w:rPr>
                <w:b/>
              </w:rPr>
            </w:pPr>
            <w:r w:rsidRPr="0057086A">
              <w:rPr>
                <w:b/>
              </w:rPr>
              <w:t>ОБЩО</w:t>
            </w:r>
          </w:p>
        </w:tc>
      </w:tr>
      <w:tr w:rsidR="004E3D1F" w:rsidRPr="0057086A" w14:paraId="7EBC2D39" w14:textId="77777777" w:rsidTr="004A15EC">
        <w:tc>
          <w:tcPr>
            <w:tcW w:w="1838" w:type="dxa"/>
            <w:tcBorders>
              <w:top w:val="single" w:sz="4" w:space="0" w:color="auto"/>
              <w:bottom w:val="single" w:sz="4" w:space="0" w:color="auto"/>
              <w:right w:val="single" w:sz="4" w:space="0" w:color="auto"/>
            </w:tcBorders>
          </w:tcPr>
          <w:p w14:paraId="7AB7BEF2" w14:textId="77777777" w:rsidR="004E3D1F" w:rsidRPr="0057086A" w:rsidRDefault="004E3D1F" w:rsidP="004A15EC">
            <w:pPr>
              <w:ind w:right="-110"/>
              <w:rPr>
                <w:b/>
              </w:rPr>
            </w:pPr>
            <w:r w:rsidRPr="0057086A">
              <w:rPr>
                <w:b/>
              </w:rPr>
              <w:t>Безплатни квоти</w:t>
            </w:r>
          </w:p>
        </w:tc>
        <w:tc>
          <w:tcPr>
            <w:tcW w:w="1015" w:type="dxa"/>
            <w:tcBorders>
              <w:top w:val="single" w:sz="4" w:space="0" w:color="auto"/>
              <w:left w:val="single" w:sz="4" w:space="0" w:color="auto"/>
              <w:bottom w:val="single" w:sz="4" w:space="0" w:color="auto"/>
              <w:right w:val="single" w:sz="4" w:space="0" w:color="auto"/>
            </w:tcBorders>
            <w:shd w:val="clear" w:color="auto" w:fill="auto"/>
          </w:tcPr>
          <w:p w14:paraId="76254146" w14:textId="68C6148D" w:rsidR="004E3D1F" w:rsidRPr="004177F3" w:rsidRDefault="004177F3" w:rsidP="004A15EC">
            <w:pPr>
              <w:jc w:val="center"/>
              <w:rPr>
                <w:lang w:val="en-US"/>
              </w:rPr>
            </w:pPr>
            <w:r>
              <w:rPr>
                <w:lang w:val="en-US"/>
              </w:rPr>
              <w:t>xx xxx</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0E4601E9" w14:textId="3D9737CE" w:rsidR="004E3D1F" w:rsidRPr="0057086A" w:rsidRDefault="004177F3" w:rsidP="004A15EC">
            <w:pPr>
              <w:jc w:val="center"/>
            </w:pPr>
            <w:r>
              <w:rPr>
                <w:lang w:val="en-US"/>
              </w:rPr>
              <w:t>xx xxx</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2EC3F547" w14:textId="01711138" w:rsidR="004E3D1F" w:rsidRPr="0057086A" w:rsidRDefault="004177F3" w:rsidP="004A15EC">
            <w:pPr>
              <w:jc w:val="center"/>
            </w:pPr>
            <w:r>
              <w:rPr>
                <w:lang w:val="en-US"/>
              </w:rPr>
              <w:t>xx xxx</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tcPr>
          <w:p w14:paraId="2EA57006" w14:textId="5E4AF5AF" w:rsidR="004E3D1F" w:rsidRPr="0057086A" w:rsidRDefault="004177F3" w:rsidP="004A15EC">
            <w:pPr>
              <w:jc w:val="center"/>
            </w:pPr>
            <w:r>
              <w:rPr>
                <w:lang w:val="en-US"/>
              </w:rPr>
              <w:t>xx xxx</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1BC757BF" w14:textId="723A7CE4" w:rsidR="004E3D1F" w:rsidRPr="0057086A" w:rsidRDefault="004177F3" w:rsidP="004A15EC">
            <w:pPr>
              <w:jc w:val="center"/>
            </w:pPr>
            <w:r>
              <w:rPr>
                <w:lang w:val="en-US"/>
              </w:rPr>
              <w:t>xx xxx</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497DEB64" w14:textId="59276C66" w:rsidR="004E3D1F" w:rsidRPr="004177F3" w:rsidRDefault="004177F3" w:rsidP="004A15EC">
            <w:pPr>
              <w:jc w:val="center"/>
              <w:rPr>
                <w:b/>
                <w:bCs/>
                <w:lang w:val="en-US"/>
              </w:rPr>
            </w:pPr>
            <w:r w:rsidRPr="004177F3">
              <w:rPr>
                <w:b/>
                <w:bCs/>
                <w:lang w:val="en-US"/>
              </w:rPr>
              <w:t>xx xxx</w:t>
            </w:r>
          </w:p>
        </w:tc>
      </w:tr>
    </w:tbl>
    <w:p w14:paraId="141FD201" w14:textId="77777777" w:rsidR="004E3D1F" w:rsidRPr="0057086A" w:rsidRDefault="004E3D1F" w:rsidP="004E3D1F">
      <w:pPr>
        <w:pStyle w:val="ListParagraph"/>
        <w:ind w:left="1069"/>
        <w:rPr>
          <w:rFonts w:ascii="Frutiger Next for EVN Light" w:hAnsi="Frutiger Next for EVN Light"/>
          <w:lang w:val="bg-BG"/>
        </w:rPr>
      </w:pPr>
    </w:p>
    <w:p w14:paraId="23C8323A" w14:textId="77777777" w:rsidR="004E3D1F" w:rsidRPr="0057086A" w:rsidRDefault="004E3D1F" w:rsidP="004E3D1F">
      <w:pPr>
        <w:ind w:left="709"/>
      </w:pPr>
      <w:r w:rsidRPr="0057086A">
        <w:t xml:space="preserve">Като производител на електроенергия, „ЕВН България Топлофикация“ ЕАД има право да се възползва от изключенията представени в чл. 10в от Директива 2018/410 на Европейския парламент и на Съвета от 14 март 2018 г. за изменение на Директива 2003/87/ЕО за установяване на схема за търговия с квоти за емисии на парникови газове в рамките на Общността. В съответствие с това Дружеството е представило пред Министерството на Енергетиката (МЕ) свои проекти за участие в </w:t>
      </w:r>
      <w:r w:rsidRPr="0057086A">
        <w:rPr>
          <w:b/>
        </w:rPr>
        <w:t>Националната рамка за инвестиции за периода 2021-2030 г.</w:t>
      </w:r>
      <w:r w:rsidRPr="0057086A">
        <w:t xml:space="preserve"> (НРИ 2021 – 2030 г.). Към настоящият момент обаче, МЕ все още не е получило одобрение от страна на Европейската Комисия (ЕК) на НРИ 2021 – 2030 г. По тази причина все още </w:t>
      </w:r>
      <w:r w:rsidRPr="0057086A">
        <w:rPr>
          <w:b/>
        </w:rPr>
        <w:t>липсва яснота кои проекти ще бъдат одобрени, на каква стойност, за кой период и съответно какво количество квоти би получило Дружеството,</w:t>
      </w:r>
      <w:r w:rsidRPr="0057086A">
        <w:t xml:space="preserve"> в замяна на извършени инвестиции за засилване на </w:t>
      </w:r>
      <w:proofErr w:type="spellStart"/>
      <w:r w:rsidRPr="0057086A">
        <w:t>разходоефективните</w:t>
      </w:r>
      <w:proofErr w:type="spellEnd"/>
      <w:r w:rsidRPr="0057086A">
        <w:t xml:space="preserve"> намаления на емисии в сектора на електропроизводството. </w:t>
      </w:r>
    </w:p>
    <w:p w14:paraId="523BA7F2" w14:textId="77777777" w:rsidR="004E3D1F" w:rsidRPr="0057086A" w:rsidRDefault="004E3D1F" w:rsidP="004E3D1F">
      <w:pPr>
        <w:ind w:left="709"/>
      </w:pPr>
    </w:p>
    <w:p w14:paraId="55A6D6B0" w14:textId="78201CBA" w:rsidR="004E3D1F" w:rsidRPr="0057086A" w:rsidRDefault="004E3D1F" w:rsidP="004E3D1F">
      <w:pPr>
        <w:ind w:left="709"/>
      </w:pPr>
      <w:r w:rsidRPr="0057086A">
        <w:t xml:space="preserve">Разходите за закупуване на квоти за емисии въглероден диоксид (ЕУА), се определят като от реално емитираните парникови газове (СО2) при производството се приспаднат предвидените безплатни квоти и се </w:t>
      </w:r>
      <w:proofErr w:type="spellStart"/>
      <w:r w:rsidRPr="0057086A">
        <w:t>остойностят</w:t>
      </w:r>
      <w:proofErr w:type="spellEnd"/>
      <w:r w:rsidRPr="0057086A">
        <w:t xml:space="preserve"> с цена на емисиите базирана на фючърс за EUA от ЕЕХ към ден на търговия </w:t>
      </w:r>
      <w:r w:rsidRPr="004E3D1F">
        <w:rPr>
          <w:lang w:val="en-US"/>
        </w:rPr>
        <w:t>15</w:t>
      </w:r>
      <w:r w:rsidRPr="004E3D1F">
        <w:t>.03.202</w:t>
      </w:r>
      <w:r w:rsidRPr="004E3D1F">
        <w:rPr>
          <w:lang w:val="en-US"/>
        </w:rPr>
        <w:t>3</w:t>
      </w:r>
      <w:r w:rsidRPr="004E3D1F">
        <w:t xml:space="preserve">  </w:t>
      </w:r>
      <w:proofErr w:type="spellStart"/>
      <w:r w:rsidRPr="0057086A">
        <w:rPr>
          <w:rFonts w:eastAsiaTheme="minorHAnsi" w:cs="Calibri-Light"/>
          <w:color w:val="0000FF"/>
          <w:spacing w:val="0"/>
          <w:lang w:eastAsia="en-US"/>
        </w:rPr>
        <w:t>Futures</w:t>
      </w:r>
      <w:proofErr w:type="spellEnd"/>
      <w:r w:rsidRPr="0057086A">
        <w:rPr>
          <w:rFonts w:eastAsiaTheme="minorHAnsi" w:cs="Calibri-Light"/>
          <w:color w:val="0000FF"/>
          <w:spacing w:val="0"/>
          <w:lang w:eastAsia="en-US"/>
        </w:rPr>
        <w:t xml:space="preserve"> Market (eex.com)</w:t>
      </w:r>
      <w:r w:rsidRPr="0057086A">
        <w:rPr>
          <w:rFonts w:eastAsiaTheme="minorHAnsi" w:cs="Arial"/>
          <w:color w:val="1F497D"/>
          <w:spacing w:val="0"/>
          <w:lang w:eastAsia="en-US"/>
        </w:rPr>
        <w:t>.</w:t>
      </w:r>
      <w:r w:rsidRPr="0057086A">
        <w:rPr>
          <w:rFonts w:eastAsiaTheme="minorHAnsi" w:cs="Arial"/>
          <w:color w:val="1F497D"/>
          <w:spacing w:val="0"/>
          <w:sz w:val="20"/>
          <w:szCs w:val="20"/>
          <w:lang w:eastAsia="en-US"/>
        </w:rPr>
        <w:t xml:space="preserve"> </w:t>
      </w:r>
      <w:r w:rsidRPr="0057086A">
        <w:t>Използвани са месечни котировки.</w:t>
      </w:r>
    </w:p>
    <w:p w14:paraId="7C870DBA" w14:textId="77777777" w:rsidR="004E3D1F" w:rsidRDefault="004E3D1F" w:rsidP="004E3D1F">
      <w:pPr>
        <w:ind w:left="709"/>
        <w:rPr>
          <w:rFonts w:cs="Arial"/>
          <w:color w:val="FF0000"/>
          <w:sz w:val="20"/>
          <w:szCs w:val="20"/>
          <w:highlight w:val="yellow"/>
        </w:rPr>
      </w:pPr>
    </w:p>
    <w:p w14:paraId="093F52DE" w14:textId="77777777" w:rsidR="00B80BA3" w:rsidRDefault="00B80BA3" w:rsidP="004E3D1F">
      <w:pPr>
        <w:ind w:left="709"/>
        <w:rPr>
          <w:rFonts w:cs="Arial"/>
          <w:color w:val="FF0000"/>
          <w:sz w:val="20"/>
          <w:szCs w:val="20"/>
          <w:highlight w:val="yellow"/>
        </w:rPr>
      </w:pPr>
    </w:p>
    <w:p w14:paraId="7DBF1854" w14:textId="77777777" w:rsidR="00B80BA3" w:rsidRPr="0057086A" w:rsidRDefault="00B80BA3" w:rsidP="004E3D1F">
      <w:pPr>
        <w:ind w:left="709"/>
        <w:rPr>
          <w:rFonts w:cs="Arial"/>
          <w:color w:val="FF0000"/>
          <w:sz w:val="20"/>
          <w:szCs w:val="20"/>
          <w:highlight w:val="yellow"/>
        </w:rPr>
      </w:pPr>
    </w:p>
    <w:tbl>
      <w:tblPr>
        <w:tblW w:w="9638" w:type="dxa"/>
        <w:tblCellMar>
          <w:left w:w="70" w:type="dxa"/>
          <w:right w:w="70" w:type="dxa"/>
        </w:tblCellMar>
        <w:tblLook w:val="04A0" w:firstRow="1" w:lastRow="0" w:firstColumn="1" w:lastColumn="0" w:noHBand="0" w:noVBand="1"/>
      </w:tblPr>
      <w:tblGrid>
        <w:gridCol w:w="4395"/>
        <w:gridCol w:w="953"/>
        <w:gridCol w:w="1701"/>
        <w:gridCol w:w="1394"/>
        <w:gridCol w:w="1195"/>
      </w:tblGrid>
      <w:tr w:rsidR="004E3D1F" w:rsidRPr="0057086A" w14:paraId="3216AF4E" w14:textId="77777777" w:rsidTr="004A15EC">
        <w:trPr>
          <w:trHeight w:val="270"/>
        </w:trPr>
        <w:tc>
          <w:tcPr>
            <w:tcW w:w="4395" w:type="dxa"/>
            <w:tcBorders>
              <w:top w:val="nil"/>
              <w:left w:val="nil"/>
              <w:bottom w:val="single" w:sz="4" w:space="0" w:color="auto"/>
              <w:right w:val="nil"/>
            </w:tcBorders>
            <w:shd w:val="clear" w:color="auto" w:fill="auto"/>
            <w:noWrap/>
            <w:vAlign w:val="bottom"/>
            <w:hideMark/>
          </w:tcPr>
          <w:p w14:paraId="64269912" w14:textId="77777777" w:rsidR="004E3D1F" w:rsidRPr="0057086A" w:rsidRDefault="004E3D1F" w:rsidP="004A15EC">
            <w:pPr>
              <w:spacing w:line="240" w:lineRule="auto"/>
              <w:rPr>
                <w:rFonts w:eastAsia="Times New Roman" w:cs="Arial"/>
                <w:color w:val="000000"/>
                <w:spacing w:val="0"/>
                <w:sz w:val="20"/>
                <w:szCs w:val="20"/>
                <w:lang w:eastAsia="bg-BG"/>
              </w:rPr>
            </w:pPr>
            <w:r w:rsidRPr="0057086A">
              <w:rPr>
                <w:rFonts w:eastAsia="Times New Roman" w:cs="Arial"/>
                <w:color w:val="000000"/>
                <w:spacing w:val="0"/>
                <w:sz w:val="20"/>
                <w:szCs w:val="20"/>
                <w:lang w:eastAsia="bg-BG"/>
              </w:rPr>
              <w:lastRenderedPageBreak/>
              <w:t> </w:t>
            </w:r>
          </w:p>
        </w:tc>
        <w:tc>
          <w:tcPr>
            <w:tcW w:w="953" w:type="dxa"/>
            <w:tcBorders>
              <w:top w:val="nil"/>
              <w:left w:val="nil"/>
              <w:bottom w:val="single" w:sz="4" w:space="0" w:color="auto"/>
              <w:right w:val="nil"/>
            </w:tcBorders>
            <w:shd w:val="clear" w:color="auto" w:fill="auto"/>
            <w:noWrap/>
            <w:vAlign w:val="bottom"/>
            <w:hideMark/>
          </w:tcPr>
          <w:p w14:paraId="37CB3529" w14:textId="77777777" w:rsidR="004E3D1F" w:rsidRPr="0057086A" w:rsidRDefault="004E3D1F" w:rsidP="004A15EC">
            <w:pPr>
              <w:spacing w:line="240" w:lineRule="auto"/>
              <w:rPr>
                <w:rFonts w:eastAsia="Times New Roman" w:cs="Arial"/>
                <w:color w:val="000000"/>
                <w:spacing w:val="0"/>
                <w:sz w:val="20"/>
                <w:szCs w:val="20"/>
                <w:lang w:eastAsia="bg-BG"/>
              </w:rPr>
            </w:pPr>
            <w:r w:rsidRPr="0057086A">
              <w:rPr>
                <w:rFonts w:eastAsia="Times New Roman" w:cs="Arial"/>
                <w:color w:val="000000"/>
                <w:spacing w:val="0"/>
                <w:sz w:val="20"/>
                <w:szCs w:val="20"/>
                <w:lang w:eastAsia="bg-BG"/>
              </w:rPr>
              <w:t>мярка</w:t>
            </w:r>
          </w:p>
        </w:tc>
        <w:tc>
          <w:tcPr>
            <w:tcW w:w="1701" w:type="dxa"/>
            <w:tcBorders>
              <w:top w:val="nil"/>
              <w:left w:val="nil"/>
              <w:bottom w:val="single" w:sz="4" w:space="0" w:color="auto"/>
              <w:right w:val="nil"/>
            </w:tcBorders>
            <w:shd w:val="clear" w:color="auto" w:fill="auto"/>
            <w:noWrap/>
            <w:vAlign w:val="bottom"/>
            <w:hideMark/>
          </w:tcPr>
          <w:p w14:paraId="09C335C6" w14:textId="77777777" w:rsidR="004E3D1F" w:rsidRPr="0057086A" w:rsidRDefault="004E3D1F" w:rsidP="004A15EC">
            <w:pPr>
              <w:spacing w:line="240" w:lineRule="auto"/>
              <w:rPr>
                <w:rFonts w:eastAsia="Times New Roman" w:cs="Arial"/>
                <w:color w:val="000000"/>
                <w:spacing w:val="0"/>
                <w:sz w:val="20"/>
                <w:szCs w:val="20"/>
                <w:lang w:eastAsia="bg-BG"/>
              </w:rPr>
            </w:pPr>
            <w:r w:rsidRPr="0057086A">
              <w:rPr>
                <w:rFonts w:eastAsia="Times New Roman" w:cs="Arial"/>
                <w:color w:val="000000"/>
                <w:spacing w:val="0"/>
                <w:sz w:val="20"/>
                <w:szCs w:val="20"/>
                <w:lang w:eastAsia="bg-BG"/>
              </w:rPr>
              <w:t>Площадка Север</w:t>
            </w:r>
          </w:p>
        </w:tc>
        <w:tc>
          <w:tcPr>
            <w:tcW w:w="1394" w:type="dxa"/>
            <w:tcBorders>
              <w:top w:val="nil"/>
              <w:left w:val="nil"/>
              <w:bottom w:val="single" w:sz="4" w:space="0" w:color="auto"/>
              <w:right w:val="nil"/>
            </w:tcBorders>
            <w:shd w:val="clear" w:color="auto" w:fill="auto"/>
            <w:noWrap/>
            <w:vAlign w:val="bottom"/>
            <w:hideMark/>
          </w:tcPr>
          <w:p w14:paraId="20F2922C" w14:textId="77777777" w:rsidR="004E3D1F" w:rsidRPr="0057086A" w:rsidRDefault="004E3D1F" w:rsidP="004A15EC">
            <w:pPr>
              <w:spacing w:line="240" w:lineRule="auto"/>
              <w:rPr>
                <w:rFonts w:eastAsia="Times New Roman" w:cs="Arial"/>
                <w:color w:val="000000"/>
                <w:spacing w:val="0"/>
                <w:sz w:val="20"/>
                <w:szCs w:val="20"/>
                <w:lang w:eastAsia="bg-BG"/>
              </w:rPr>
            </w:pPr>
            <w:r w:rsidRPr="0057086A">
              <w:rPr>
                <w:rFonts w:eastAsia="Times New Roman" w:cs="Arial"/>
                <w:color w:val="000000"/>
                <w:spacing w:val="0"/>
                <w:sz w:val="20"/>
                <w:szCs w:val="20"/>
                <w:lang w:eastAsia="bg-BG"/>
              </w:rPr>
              <w:t>Площадка Юг</w:t>
            </w:r>
          </w:p>
        </w:tc>
        <w:tc>
          <w:tcPr>
            <w:tcW w:w="1195" w:type="dxa"/>
            <w:tcBorders>
              <w:top w:val="nil"/>
              <w:left w:val="nil"/>
              <w:bottom w:val="single" w:sz="4" w:space="0" w:color="auto"/>
              <w:right w:val="nil"/>
            </w:tcBorders>
            <w:shd w:val="clear" w:color="auto" w:fill="auto"/>
            <w:noWrap/>
            <w:vAlign w:val="bottom"/>
            <w:hideMark/>
          </w:tcPr>
          <w:p w14:paraId="14DE6007" w14:textId="77777777" w:rsidR="004E3D1F" w:rsidRPr="0057086A" w:rsidRDefault="004E3D1F" w:rsidP="004A15EC">
            <w:pPr>
              <w:spacing w:line="240" w:lineRule="auto"/>
              <w:rPr>
                <w:rFonts w:eastAsia="Times New Roman" w:cs="Arial"/>
                <w:color w:val="000000"/>
                <w:spacing w:val="0"/>
                <w:sz w:val="20"/>
                <w:szCs w:val="20"/>
                <w:lang w:eastAsia="bg-BG"/>
              </w:rPr>
            </w:pPr>
            <w:r w:rsidRPr="0057086A">
              <w:rPr>
                <w:rFonts w:eastAsia="Times New Roman" w:cs="Arial"/>
                <w:color w:val="000000"/>
                <w:spacing w:val="0"/>
                <w:sz w:val="20"/>
                <w:szCs w:val="20"/>
                <w:lang w:eastAsia="bg-BG"/>
              </w:rPr>
              <w:t>Общо за ТР</w:t>
            </w:r>
          </w:p>
        </w:tc>
      </w:tr>
      <w:tr w:rsidR="004E3D1F" w:rsidRPr="0057086A" w14:paraId="252ED83F" w14:textId="77777777" w:rsidTr="004A15EC">
        <w:trPr>
          <w:trHeight w:val="285"/>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2B50171B" w14:textId="77777777" w:rsidR="004E3D1F" w:rsidRPr="0057086A" w:rsidRDefault="004E3D1F" w:rsidP="004A15EC">
            <w:pPr>
              <w:spacing w:line="240" w:lineRule="auto"/>
              <w:rPr>
                <w:rFonts w:eastAsia="Times New Roman" w:cs="Arial"/>
                <w:color w:val="000000"/>
                <w:spacing w:val="0"/>
                <w:lang w:eastAsia="bg-BG"/>
              </w:rPr>
            </w:pPr>
            <w:r>
              <w:rPr>
                <w:rFonts w:ascii="Arial" w:hAnsi="Arial" w:cs="Arial"/>
                <w:color w:val="000000"/>
                <w:sz w:val="20"/>
                <w:szCs w:val="20"/>
              </w:rPr>
              <w:t>емитирани за 2-во пол. 2024</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93437F" w14:textId="77777777" w:rsidR="004E3D1F" w:rsidRPr="0057086A" w:rsidRDefault="004E3D1F" w:rsidP="004A15EC">
            <w:pPr>
              <w:spacing w:line="240" w:lineRule="auto"/>
              <w:jc w:val="center"/>
              <w:rPr>
                <w:rFonts w:eastAsia="Times New Roman" w:cs="Arial"/>
                <w:spacing w:val="0"/>
                <w:lang w:eastAsia="bg-BG"/>
              </w:rPr>
            </w:pPr>
            <w:r>
              <w:rPr>
                <w:rFonts w:ascii="Arial" w:hAnsi="Arial" w:cs="Arial"/>
                <w:sz w:val="20"/>
                <w:szCs w:val="20"/>
              </w:rPr>
              <w:t>t</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E912D10" w14:textId="68C913B8" w:rsidR="004E3D1F" w:rsidRPr="004177F3" w:rsidRDefault="004177F3" w:rsidP="004A15EC">
            <w:pPr>
              <w:spacing w:line="240" w:lineRule="auto"/>
              <w:jc w:val="right"/>
              <w:rPr>
                <w:rFonts w:eastAsia="Times New Roman" w:cs="Arial"/>
                <w:color w:val="000000"/>
                <w:spacing w:val="0"/>
                <w:lang w:val="en-US" w:eastAsia="bg-BG"/>
              </w:rPr>
            </w:pPr>
            <w:r>
              <w:rPr>
                <w:rFonts w:ascii="Arial" w:hAnsi="Arial" w:cs="Arial"/>
                <w:sz w:val="20"/>
                <w:szCs w:val="20"/>
                <w:lang w:val="en-US"/>
              </w:rPr>
              <w:t>-xx xxx</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14:paraId="627A950E" w14:textId="2330352C" w:rsidR="004E3D1F" w:rsidRPr="004177F3" w:rsidRDefault="004177F3" w:rsidP="004A15EC">
            <w:pPr>
              <w:spacing w:line="240" w:lineRule="auto"/>
              <w:jc w:val="right"/>
              <w:rPr>
                <w:rFonts w:eastAsia="Times New Roman" w:cs="Arial"/>
                <w:color w:val="000000"/>
                <w:spacing w:val="0"/>
                <w:lang w:val="en-US" w:eastAsia="bg-BG"/>
              </w:rPr>
            </w:pPr>
            <w:r>
              <w:rPr>
                <w:rFonts w:ascii="Arial" w:hAnsi="Arial" w:cs="Arial"/>
                <w:sz w:val="20"/>
                <w:szCs w:val="20"/>
                <w:lang w:val="en-US"/>
              </w:rPr>
              <w:t>-x xxx</w:t>
            </w:r>
          </w:p>
        </w:tc>
        <w:tc>
          <w:tcPr>
            <w:tcW w:w="1195" w:type="dxa"/>
            <w:tcBorders>
              <w:top w:val="single" w:sz="4" w:space="0" w:color="auto"/>
              <w:left w:val="nil"/>
              <w:bottom w:val="single" w:sz="4" w:space="0" w:color="auto"/>
              <w:right w:val="single" w:sz="4" w:space="0" w:color="auto"/>
            </w:tcBorders>
            <w:shd w:val="clear" w:color="auto" w:fill="auto"/>
            <w:noWrap/>
            <w:vAlign w:val="bottom"/>
            <w:hideMark/>
          </w:tcPr>
          <w:p w14:paraId="13B5168D" w14:textId="51867ECF" w:rsidR="004E3D1F" w:rsidRPr="004177F3" w:rsidRDefault="004177F3" w:rsidP="004A15EC">
            <w:pPr>
              <w:spacing w:line="240" w:lineRule="auto"/>
              <w:jc w:val="right"/>
              <w:rPr>
                <w:rFonts w:eastAsia="Times New Roman" w:cs="Arial"/>
                <w:color w:val="000000"/>
                <w:spacing w:val="0"/>
                <w:lang w:val="en-US" w:eastAsia="bg-BG"/>
              </w:rPr>
            </w:pPr>
            <w:r>
              <w:rPr>
                <w:rFonts w:ascii="Arial" w:hAnsi="Arial" w:cs="Arial"/>
                <w:color w:val="000000"/>
                <w:sz w:val="20"/>
                <w:szCs w:val="20"/>
                <w:lang w:val="en-US"/>
              </w:rPr>
              <w:t>-xx xxx</w:t>
            </w:r>
          </w:p>
        </w:tc>
      </w:tr>
      <w:tr w:rsidR="004E3D1F" w:rsidRPr="0057086A" w14:paraId="07959729" w14:textId="77777777" w:rsidTr="004A15EC">
        <w:trPr>
          <w:trHeight w:val="285"/>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112AA522" w14:textId="77777777" w:rsidR="004E3D1F" w:rsidRPr="0057086A" w:rsidRDefault="004E3D1F" w:rsidP="004A15EC">
            <w:pPr>
              <w:spacing w:line="240" w:lineRule="auto"/>
              <w:rPr>
                <w:rFonts w:eastAsia="Times New Roman" w:cs="Arial"/>
                <w:color w:val="000000"/>
                <w:spacing w:val="0"/>
                <w:lang w:eastAsia="bg-BG"/>
              </w:rPr>
            </w:pPr>
            <w:r>
              <w:rPr>
                <w:rFonts w:ascii="Arial" w:hAnsi="Arial" w:cs="Arial"/>
                <w:color w:val="000000"/>
                <w:sz w:val="20"/>
                <w:szCs w:val="20"/>
              </w:rPr>
              <w:t xml:space="preserve">безплатни Q </w:t>
            </w:r>
            <w:proofErr w:type="spellStart"/>
            <w:r>
              <w:rPr>
                <w:rFonts w:ascii="Arial" w:hAnsi="Arial" w:cs="Arial"/>
                <w:color w:val="000000"/>
                <w:sz w:val="20"/>
                <w:szCs w:val="20"/>
              </w:rPr>
              <w:t>EUAs</w:t>
            </w:r>
            <w:proofErr w:type="spellEnd"/>
            <w:r>
              <w:rPr>
                <w:rFonts w:ascii="Arial" w:hAnsi="Arial" w:cs="Arial"/>
                <w:color w:val="000000"/>
                <w:sz w:val="20"/>
                <w:szCs w:val="20"/>
              </w:rPr>
              <w:t xml:space="preserve">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DBE54" w14:textId="77777777" w:rsidR="004E3D1F" w:rsidRPr="0057086A" w:rsidRDefault="004E3D1F" w:rsidP="004A15EC">
            <w:pPr>
              <w:spacing w:line="240" w:lineRule="auto"/>
              <w:jc w:val="center"/>
              <w:rPr>
                <w:rFonts w:eastAsia="Times New Roman" w:cs="Arial"/>
                <w:spacing w:val="0"/>
                <w:lang w:eastAsia="bg-BG"/>
              </w:rPr>
            </w:pPr>
            <w:r>
              <w:rPr>
                <w:rFonts w:ascii="Arial" w:hAnsi="Arial" w:cs="Arial"/>
                <w:sz w:val="20"/>
                <w:szCs w:val="20"/>
              </w:rPr>
              <w:t>t</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64B601A" w14:textId="3A8471A7" w:rsidR="004E3D1F" w:rsidRPr="004177F3" w:rsidRDefault="004177F3" w:rsidP="004A15EC">
            <w:pPr>
              <w:spacing w:line="240" w:lineRule="auto"/>
              <w:jc w:val="right"/>
              <w:rPr>
                <w:rFonts w:eastAsia="Times New Roman" w:cs="Arial"/>
                <w:color w:val="000000"/>
                <w:spacing w:val="0"/>
                <w:lang w:val="en-US" w:eastAsia="bg-BG"/>
              </w:rPr>
            </w:pPr>
            <w:r>
              <w:rPr>
                <w:rFonts w:ascii="Arial" w:hAnsi="Arial" w:cs="Arial"/>
                <w:color w:val="000000"/>
                <w:sz w:val="20"/>
                <w:szCs w:val="20"/>
                <w:lang w:val="en-US"/>
              </w:rPr>
              <w:t>x xxx</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14:paraId="34B29924" w14:textId="2D1CF3E2" w:rsidR="004E3D1F" w:rsidRPr="004177F3" w:rsidRDefault="004177F3" w:rsidP="004A15EC">
            <w:pPr>
              <w:spacing w:line="240" w:lineRule="auto"/>
              <w:jc w:val="right"/>
              <w:rPr>
                <w:rFonts w:eastAsia="Times New Roman" w:cs="Arial"/>
                <w:color w:val="000000"/>
                <w:spacing w:val="0"/>
                <w:lang w:val="en-US" w:eastAsia="bg-BG"/>
              </w:rPr>
            </w:pPr>
            <w:r>
              <w:rPr>
                <w:rFonts w:ascii="Arial" w:hAnsi="Arial" w:cs="Arial"/>
                <w:color w:val="000000"/>
                <w:sz w:val="20"/>
                <w:szCs w:val="20"/>
                <w:lang w:val="en-US"/>
              </w:rPr>
              <w:t>x xxx</w:t>
            </w:r>
          </w:p>
        </w:tc>
        <w:tc>
          <w:tcPr>
            <w:tcW w:w="1195" w:type="dxa"/>
            <w:tcBorders>
              <w:top w:val="single" w:sz="4" w:space="0" w:color="auto"/>
              <w:left w:val="nil"/>
              <w:bottom w:val="single" w:sz="4" w:space="0" w:color="auto"/>
              <w:right w:val="single" w:sz="4" w:space="0" w:color="auto"/>
            </w:tcBorders>
            <w:shd w:val="clear" w:color="auto" w:fill="auto"/>
            <w:noWrap/>
            <w:vAlign w:val="bottom"/>
            <w:hideMark/>
          </w:tcPr>
          <w:p w14:paraId="42A9CFCC" w14:textId="76628562" w:rsidR="004E3D1F" w:rsidRPr="004177F3" w:rsidRDefault="004177F3" w:rsidP="004A15EC">
            <w:pPr>
              <w:spacing w:line="240" w:lineRule="auto"/>
              <w:jc w:val="right"/>
              <w:rPr>
                <w:rFonts w:eastAsia="Times New Roman" w:cs="Arial"/>
                <w:color w:val="000000"/>
                <w:spacing w:val="0"/>
                <w:lang w:val="en-US" w:eastAsia="bg-BG"/>
              </w:rPr>
            </w:pPr>
            <w:r>
              <w:rPr>
                <w:rFonts w:ascii="Arial" w:hAnsi="Arial" w:cs="Arial"/>
                <w:color w:val="000000"/>
                <w:sz w:val="20"/>
                <w:szCs w:val="20"/>
                <w:lang w:val="en-US"/>
              </w:rPr>
              <w:t>x xxx</w:t>
            </w:r>
          </w:p>
        </w:tc>
      </w:tr>
      <w:tr w:rsidR="004E3D1F" w:rsidRPr="0057086A" w14:paraId="3268CDDC" w14:textId="77777777" w:rsidTr="004A15EC">
        <w:trPr>
          <w:trHeight w:val="270"/>
        </w:trPr>
        <w:tc>
          <w:tcPr>
            <w:tcW w:w="4395"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10D4AF67" w14:textId="77777777" w:rsidR="004E3D1F" w:rsidRPr="0057086A" w:rsidRDefault="004E3D1F" w:rsidP="004A15EC">
            <w:pPr>
              <w:spacing w:line="240" w:lineRule="auto"/>
              <w:rPr>
                <w:rFonts w:eastAsia="Times New Roman" w:cs="Arial"/>
                <w:color w:val="000000"/>
                <w:spacing w:val="0"/>
                <w:lang w:eastAsia="bg-BG"/>
              </w:rPr>
            </w:pPr>
            <w:r>
              <w:rPr>
                <w:rFonts w:ascii="Arial" w:hAnsi="Arial" w:cs="Arial"/>
                <w:color w:val="000000"/>
                <w:sz w:val="20"/>
                <w:szCs w:val="20"/>
              </w:rPr>
              <w:t xml:space="preserve">за закупуване </w:t>
            </w:r>
          </w:p>
        </w:tc>
        <w:tc>
          <w:tcPr>
            <w:tcW w:w="953"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4A59BC0A" w14:textId="77777777" w:rsidR="004E3D1F" w:rsidRPr="0057086A" w:rsidRDefault="004E3D1F" w:rsidP="004A15EC">
            <w:pPr>
              <w:spacing w:line="240" w:lineRule="auto"/>
              <w:jc w:val="center"/>
              <w:rPr>
                <w:rFonts w:eastAsia="Times New Roman" w:cs="Arial"/>
                <w:spacing w:val="0"/>
                <w:lang w:eastAsia="bg-BG"/>
              </w:rPr>
            </w:pPr>
            <w:r>
              <w:rPr>
                <w:rFonts w:ascii="Arial" w:hAnsi="Arial" w:cs="Arial"/>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6F8F9942" w14:textId="1994D99E" w:rsidR="004E3D1F" w:rsidRPr="004177F3" w:rsidRDefault="004177F3" w:rsidP="004A15EC">
            <w:pPr>
              <w:spacing w:line="240" w:lineRule="auto"/>
              <w:jc w:val="right"/>
              <w:rPr>
                <w:rFonts w:eastAsia="Times New Roman" w:cs="Arial"/>
                <w:color w:val="000000"/>
                <w:spacing w:val="0"/>
                <w:lang w:val="en-US" w:eastAsia="bg-BG"/>
              </w:rPr>
            </w:pPr>
            <w:r>
              <w:rPr>
                <w:rFonts w:ascii="Arial" w:hAnsi="Arial" w:cs="Arial"/>
                <w:color w:val="000000"/>
                <w:sz w:val="20"/>
                <w:szCs w:val="20"/>
                <w:lang w:val="en-US"/>
              </w:rPr>
              <w:t>- xx xxx</w:t>
            </w:r>
          </w:p>
        </w:tc>
        <w:tc>
          <w:tcPr>
            <w:tcW w:w="1394"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72F759B5" w14:textId="49D47A6E" w:rsidR="004E3D1F" w:rsidRPr="004177F3" w:rsidRDefault="004177F3" w:rsidP="004A15EC">
            <w:pPr>
              <w:spacing w:line="240" w:lineRule="auto"/>
              <w:jc w:val="right"/>
              <w:rPr>
                <w:rFonts w:eastAsia="Times New Roman" w:cs="Arial"/>
                <w:color w:val="000000"/>
                <w:spacing w:val="0"/>
                <w:lang w:val="en-US" w:eastAsia="bg-BG"/>
              </w:rPr>
            </w:pPr>
            <w:r>
              <w:rPr>
                <w:rFonts w:ascii="Arial" w:hAnsi="Arial" w:cs="Arial"/>
                <w:color w:val="000000"/>
                <w:sz w:val="20"/>
                <w:szCs w:val="20"/>
                <w:lang w:val="en-US"/>
              </w:rPr>
              <w:t>-x xxx</w:t>
            </w:r>
          </w:p>
        </w:tc>
        <w:tc>
          <w:tcPr>
            <w:tcW w:w="1195"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163961C7" w14:textId="0BA4B2FF" w:rsidR="004E3D1F" w:rsidRPr="004177F3" w:rsidRDefault="004177F3" w:rsidP="004A15EC">
            <w:pPr>
              <w:spacing w:line="240" w:lineRule="auto"/>
              <w:jc w:val="right"/>
              <w:rPr>
                <w:rFonts w:eastAsia="Times New Roman" w:cs="Arial"/>
                <w:color w:val="000000"/>
                <w:spacing w:val="0"/>
                <w:lang w:val="en-US" w:eastAsia="bg-BG"/>
              </w:rPr>
            </w:pPr>
            <w:r>
              <w:rPr>
                <w:rFonts w:ascii="Arial" w:hAnsi="Arial" w:cs="Arial"/>
                <w:color w:val="000000"/>
                <w:sz w:val="20"/>
                <w:szCs w:val="20"/>
                <w:lang w:val="en-US"/>
              </w:rPr>
              <w:t>-xx xxx</w:t>
            </w:r>
          </w:p>
        </w:tc>
      </w:tr>
      <w:tr w:rsidR="004E3D1F" w:rsidRPr="0057086A" w14:paraId="0DF284A0" w14:textId="77777777" w:rsidTr="004A15EC">
        <w:trPr>
          <w:trHeight w:val="255"/>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79AE3E18" w14:textId="77777777" w:rsidR="004E3D1F" w:rsidRPr="0057086A" w:rsidRDefault="004E3D1F" w:rsidP="004A15EC">
            <w:pPr>
              <w:spacing w:line="240" w:lineRule="auto"/>
              <w:rPr>
                <w:rFonts w:eastAsia="Times New Roman" w:cs="Arial"/>
                <w:color w:val="000000"/>
                <w:spacing w:val="0"/>
                <w:lang w:eastAsia="bg-BG"/>
              </w:rPr>
            </w:pPr>
            <w:r>
              <w:rPr>
                <w:rFonts w:ascii="Arial" w:hAnsi="Arial" w:cs="Arial"/>
                <w:color w:val="000000"/>
                <w:sz w:val="20"/>
                <w:szCs w:val="20"/>
              </w:rPr>
              <w:t>емитирани за 1-во пол. 2025</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91225F" w14:textId="77777777" w:rsidR="004E3D1F" w:rsidRPr="0057086A" w:rsidRDefault="004E3D1F" w:rsidP="004A15EC">
            <w:pPr>
              <w:spacing w:line="240" w:lineRule="auto"/>
              <w:jc w:val="center"/>
              <w:rPr>
                <w:rFonts w:eastAsia="Times New Roman" w:cs="Arial"/>
                <w:spacing w:val="0"/>
                <w:lang w:eastAsia="bg-BG"/>
              </w:rPr>
            </w:pPr>
            <w:r>
              <w:rPr>
                <w:rFonts w:ascii="Arial" w:hAnsi="Arial" w:cs="Arial"/>
                <w:sz w:val="20"/>
                <w:szCs w:val="20"/>
              </w:rPr>
              <w:t>t</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6E04F88" w14:textId="729CD6CD" w:rsidR="004E3D1F" w:rsidRPr="0057086A" w:rsidRDefault="004177F3" w:rsidP="004A15EC">
            <w:pPr>
              <w:spacing w:line="240" w:lineRule="auto"/>
              <w:jc w:val="right"/>
              <w:rPr>
                <w:rFonts w:eastAsia="Times New Roman" w:cs="Arial"/>
                <w:color w:val="000000"/>
                <w:spacing w:val="0"/>
                <w:lang w:eastAsia="bg-BG"/>
              </w:rPr>
            </w:pPr>
            <w:r>
              <w:rPr>
                <w:rFonts w:ascii="Arial" w:hAnsi="Arial" w:cs="Arial"/>
                <w:color w:val="000000"/>
                <w:sz w:val="20"/>
                <w:szCs w:val="20"/>
                <w:lang w:val="en-US"/>
              </w:rPr>
              <w:t>-xx xxx</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14:paraId="7657F702" w14:textId="1B576CDE" w:rsidR="004E3D1F" w:rsidRPr="0057086A" w:rsidRDefault="004177F3" w:rsidP="004A15EC">
            <w:pPr>
              <w:spacing w:line="240" w:lineRule="auto"/>
              <w:jc w:val="right"/>
              <w:rPr>
                <w:rFonts w:eastAsia="Times New Roman" w:cs="Arial"/>
                <w:color w:val="000000"/>
                <w:spacing w:val="0"/>
                <w:lang w:eastAsia="bg-BG"/>
              </w:rPr>
            </w:pPr>
            <w:r>
              <w:rPr>
                <w:rFonts w:ascii="Arial" w:hAnsi="Arial" w:cs="Arial"/>
                <w:color w:val="000000"/>
                <w:sz w:val="20"/>
                <w:szCs w:val="20"/>
                <w:lang w:val="en-US"/>
              </w:rPr>
              <w:t>-x xxx</w:t>
            </w:r>
          </w:p>
        </w:tc>
        <w:tc>
          <w:tcPr>
            <w:tcW w:w="1195" w:type="dxa"/>
            <w:tcBorders>
              <w:top w:val="single" w:sz="4" w:space="0" w:color="auto"/>
              <w:left w:val="nil"/>
              <w:bottom w:val="single" w:sz="4" w:space="0" w:color="auto"/>
              <w:right w:val="single" w:sz="4" w:space="0" w:color="auto"/>
            </w:tcBorders>
            <w:shd w:val="clear" w:color="auto" w:fill="auto"/>
            <w:noWrap/>
            <w:vAlign w:val="bottom"/>
            <w:hideMark/>
          </w:tcPr>
          <w:p w14:paraId="27AC096E" w14:textId="65B77C68" w:rsidR="004E3D1F" w:rsidRPr="0057086A" w:rsidRDefault="004177F3" w:rsidP="004A15EC">
            <w:pPr>
              <w:spacing w:line="240" w:lineRule="auto"/>
              <w:jc w:val="right"/>
              <w:rPr>
                <w:rFonts w:eastAsia="Times New Roman" w:cs="Arial"/>
                <w:color w:val="000000"/>
                <w:spacing w:val="0"/>
                <w:lang w:eastAsia="bg-BG"/>
              </w:rPr>
            </w:pPr>
            <w:r>
              <w:rPr>
                <w:rFonts w:ascii="Arial" w:hAnsi="Arial" w:cs="Arial"/>
                <w:color w:val="000000"/>
                <w:sz w:val="20"/>
                <w:szCs w:val="20"/>
                <w:lang w:val="en-US"/>
              </w:rPr>
              <w:t>-xx xxx</w:t>
            </w:r>
          </w:p>
        </w:tc>
      </w:tr>
      <w:tr w:rsidR="004E3D1F" w:rsidRPr="0057086A" w14:paraId="1ECD88B3" w14:textId="77777777" w:rsidTr="004A15EC">
        <w:trPr>
          <w:trHeight w:val="255"/>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2BD6A26D" w14:textId="77777777" w:rsidR="004E3D1F" w:rsidRPr="0057086A" w:rsidRDefault="004E3D1F" w:rsidP="004A15EC">
            <w:pPr>
              <w:spacing w:line="240" w:lineRule="auto"/>
              <w:rPr>
                <w:rFonts w:eastAsia="Times New Roman" w:cs="Arial"/>
                <w:color w:val="000000"/>
                <w:spacing w:val="0"/>
                <w:lang w:eastAsia="bg-BG"/>
              </w:rPr>
            </w:pPr>
            <w:r>
              <w:rPr>
                <w:rFonts w:ascii="Arial" w:hAnsi="Arial" w:cs="Arial"/>
                <w:color w:val="000000"/>
                <w:sz w:val="20"/>
                <w:szCs w:val="20"/>
              </w:rPr>
              <w:t xml:space="preserve">безплатни Q </w:t>
            </w:r>
            <w:proofErr w:type="spellStart"/>
            <w:r>
              <w:rPr>
                <w:rFonts w:ascii="Arial" w:hAnsi="Arial" w:cs="Arial"/>
                <w:color w:val="000000"/>
                <w:sz w:val="20"/>
                <w:szCs w:val="20"/>
              </w:rPr>
              <w:t>EUAs</w:t>
            </w:r>
            <w:proofErr w:type="spellEnd"/>
            <w:r>
              <w:rPr>
                <w:rFonts w:ascii="Arial" w:hAnsi="Arial" w:cs="Arial"/>
                <w:color w:val="000000"/>
                <w:sz w:val="20"/>
                <w:szCs w:val="20"/>
              </w:rPr>
              <w:t xml:space="preserve">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20131" w14:textId="77777777" w:rsidR="004E3D1F" w:rsidRPr="0057086A" w:rsidRDefault="004E3D1F" w:rsidP="004A15EC">
            <w:pPr>
              <w:spacing w:line="240" w:lineRule="auto"/>
              <w:jc w:val="center"/>
              <w:rPr>
                <w:rFonts w:eastAsia="Times New Roman" w:cs="Arial"/>
                <w:spacing w:val="0"/>
                <w:lang w:eastAsia="bg-BG"/>
              </w:rPr>
            </w:pPr>
            <w:r>
              <w:rPr>
                <w:rFonts w:ascii="Arial" w:hAnsi="Arial" w:cs="Arial"/>
                <w:sz w:val="20"/>
                <w:szCs w:val="20"/>
              </w:rPr>
              <w:t>t</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794AD97" w14:textId="7635B832" w:rsidR="004E3D1F" w:rsidRPr="0057086A" w:rsidRDefault="004177F3" w:rsidP="004A15EC">
            <w:pPr>
              <w:spacing w:line="240" w:lineRule="auto"/>
              <w:jc w:val="right"/>
              <w:rPr>
                <w:rFonts w:eastAsia="Times New Roman" w:cs="Arial"/>
                <w:color w:val="000000"/>
                <w:spacing w:val="0"/>
                <w:lang w:eastAsia="bg-BG"/>
              </w:rPr>
            </w:pPr>
            <w:r>
              <w:rPr>
                <w:rFonts w:ascii="Arial" w:hAnsi="Arial" w:cs="Arial"/>
                <w:color w:val="000000"/>
                <w:sz w:val="20"/>
                <w:szCs w:val="20"/>
                <w:lang w:val="en-US"/>
              </w:rPr>
              <w:t>x xxx</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14:paraId="6DD425D6" w14:textId="3B96F94B" w:rsidR="004E3D1F" w:rsidRPr="0057086A" w:rsidRDefault="004177F3" w:rsidP="004A15EC">
            <w:pPr>
              <w:spacing w:line="240" w:lineRule="auto"/>
              <w:jc w:val="right"/>
              <w:rPr>
                <w:rFonts w:eastAsia="Times New Roman" w:cs="Arial"/>
                <w:color w:val="000000"/>
                <w:spacing w:val="0"/>
                <w:lang w:eastAsia="bg-BG"/>
              </w:rPr>
            </w:pPr>
            <w:r>
              <w:rPr>
                <w:rFonts w:ascii="Arial" w:hAnsi="Arial" w:cs="Arial"/>
                <w:color w:val="000000"/>
                <w:sz w:val="20"/>
                <w:szCs w:val="20"/>
                <w:lang w:val="en-US"/>
              </w:rPr>
              <w:t>x xxx</w:t>
            </w:r>
          </w:p>
        </w:tc>
        <w:tc>
          <w:tcPr>
            <w:tcW w:w="1195" w:type="dxa"/>
            <w:tcBorders>
              <w:top w:val="single" w:sz="4" w:space="0" w:color="auto"/>
              <w:left w:val="nil"/>
              <w:bottom w:val="single" w:sz="4" w:space="0" w:color="auto"/>
              <w:right w:val="single" w:sz="4" w:space="0" w:color="auto"/>
            </w:tcBorders>
            <w:shd w:val="clear" w:color="auto" w:fill="auto"/>
            <w:noWrap/>
            <w:vAlign w:val="bottom"/>
            <w:hideMark/>
          </w:tcPr>
          <w:p w14:paraId="7EBC747B" w14:textId="77777777" w:rsidR="004E3D1F" w:rsidRPr="0057086A" w:rsidRDefault="004E3D1F" w:rsidP="004A15EC">
            <w:pPr>
              <w:spacing w:line="240" w:lineRule="auto"/>
              <w:jc w:val="right"/>
              <w:rPr>
                <w:rFonts w:eastAsia="Times New Roman" w:cs="Arial"/>
                <w:color w:val="000000"/>
                <w:spacing w:val="0"/>
                <w:lang w:eastAsia="bg-BG"/>
              </w:rPr>
            </w:pPr>
            <w:r>
              <w:rPr>
                <w:rFonts w:ascii="Arial" w:hAnsi="Arial" w:cs="Arial"/>
                <w:color w:val="000000"/>
                <w:sz w:val="20"/>
                <w:szCs w:val="20"/>
              </w:rPr>
              <w:t>7 520</w:t>
            </w:r>
          </w:p>
        </w:tc>
      </w:tr>
      <w:tr w:rsidR="004E3D1F" w:rsidRPr="0057086A" w14:paraId="4E8DFE50" w14:textId="77777777" w:rsidTr="004A15EC">
        <w:trPr>
          <w:trHeight w:val="270"/>
        </w:trPr>
        <w:tc>
          <w:tcPr>
            <w:tcW w:w="4395"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4E01F1CD" w14:textId="77777777" w:rsidR="004E3D1F" w:rsidRPr="0057086A" w:rsidRDefault="004E3D1F" w:rsidP="004A15EC">
            <w:pPr>
              <w:spacing w:line="240" w:lineRule="auto"/>
              <w:rPr>
                <w:rFonts w:eastAsia="Times New Roman" w:cs="Arial"/>
                <w:color w:val="000000"/>
                <w:spacing w:val="0"/>
                <w:lang w:val="en-US" w:eastAsia="bg-BG"/>
              </w:rPr>
            </w:pPr>
            <w:r>
              <w:rPr>
                <w:rFonts w:ascii="Arial" w:hAnsi="Arial" w:cs="Arial"/>
                <w:color w:val="000000"/>
                <w:sz w:val="20"/>
                <w:szCs w:val="20"/>
              </w:rPr>
              <w:t xml:space="preserve">за закупуване </w:t>
            </w:r>
          </w:p>
        </w:tc>
        <w:tc>
          <w:tcPr>
            <w:tcW w:w="953"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3BA616D8" w14:textId="77777777" w:rsidR="004E3D1F" w:rsidRPr="0057086A" w:rsidRDefault="004E3D1F" w:rsidP="004A15EC">
            <w:pPr>
              <w:spacing w:line="240" w:lineRule="auto"/>
              <w:jc w:val="center"/>
              <w:rPr>
                <w:rFonts w:eastAsia="Times New Roman" w:cs="Arial"/>
                <w:color w:val="000000"/>
                <w:spacing w:val="0"/>
                <w:lang w:val="en-US" w:eastAsia="bg-BG"/>
              </w:rPr>
            </w:pPr>
            <w:r>
              <w:rPr>
                <w:rFonts w:ascii="Arial" w:hAnsi="Arial" w:cs="Arial"/>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6DC74058" w14:textId="54986B8C" w:rsidR="004E3D1F" w:rsidRPr="0057086A" w:rsidRDefault="004177F3" w:rsidP="004A15EC">
            <w:pPr>
              <w:spacing w:line="240" w:lineRule="auto"/>
              <w:jc w:val="right"/>
              <w:rPr>
                <w:rFonts w:eastAsia="Times New Roman" w:cs="Arial"/>
                <w:color w:val="000000"/>
                <w:spacing w:val="0"/>
                <w:lang w:eastAsia="bg-BG"/>
              </w:rPr>
            </w:pPr>
            <w:r>
              <w:rPr>
                <w:rFonts w:ascii="Arial" w:hAnsi="Arial" w:cs="Arial"/>
                <w:color w:val="000000"/>
                <w:sz w:val="20"/>
                <w:szCs w:val="20"/>
                <w:lang w:val="en-US"/>
              </w:rPr>
              <w:t>-xx xxx</w:t>
            </w:r>
          </w:p>
        </w:tc>
        <w:tc>
          <w:tcPr>
            <w:tcW w:w="1394"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0FFC750B" w14:textId="5990C24B" w:rsidR="004E3D1F" w:rsidRPr="0057086A" w:rsidRDefault="004177F3" w:rsidP="004A15EC">
            <w:pPr>
              <w:spacing w:line="240" w:lineRule="auto"/>
              <w:jc w:val="right"/>
              <w:rPr>
                <w:rFonts w:eastAsia="Times New Roman" w:cs="Arial"/>
                <w:color w:val="000000"/>
                <w:spacing w:val="0"/>
                <w:lang w:eastAsia="bg-BG"/>
              </w:rPr>
            </w:pPr>
            <w:r>
              <w:rPr>
                <w:rFonts w:ascii="Arial" w:hAnsi="Arial" w:cs="Arial"/>
                <w:color w:val="000000"/>
                <w:sz w:val="20"/>
                <w:szCs w:val="20"/>
                <w:lang w:val="en-US"/>
              </w:rPr>
              <w:t>-</w:t>
            </w:r>
            <w:r>
              <w:rPr>
                <w:rFonts w:ascii="Arial" w:hAnsi="Arial" w:cs="Arial"/>
                <w:color w:val="000000"/>
                <w:sz w:val="20"/>
                <w:szCs w:val="20"/>
                <w:lang w:val="en-US"/>
              </w:rPr>
              <w:t>x xxx</w:t>
            </w:r>
          </w:p>
        </w:tc>
        <w:tc>
          <w:tcPr>
            <w:tcW w:w="1195"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6322F140" w14:textId="07FC0CFE" w:rsidR="004E3D1F" w:rsidRPr="0057086A" w:rsidRDefault="004177F3" w:rsidP="004A15EC">
            <w:pPr>
              <w:spacing w:line="240" w:lineRule="auto"/>
              <w:jc w:val="right"/>
              <w:rPr>
                <w:rFonts w:eastAsia="Times New Roman" w:cs="Arial"/>
                <w:color w:val="000000"/>
                <w:spacing w:val="0"/>
                <w:lang w:eastAsia="bg-BG"/>
              </w:rPr>
            </w:pPr>
            <w:r>
              <w:rPr>
                <w:rFonts w:ascii="Arial" w:hAnsi="Arial" w:cs="Arial"/>
                <w:color w:val="000000"/>
                <w:sz w:val="20"/>
                <w:szCs w:val="20"/>
                <w:lang w:val="en-US"/>
              </w:rPr>
              <w:t>-xx xxx</w:t>
            </w:r>
          </w:p>
        </w:tc>
      </w:tr>
      <w:tr w:rsidR="004E3D1F" w:rsidRPr="0057086A" w14:paraId="7D54C907" w14:textId="77777777" w:rsidTr="004A15EC">
        <w:trPr>
          <w:trHeight w:val="270"/>
        </w:trPr>
        <w:tc>
          <w:tcPr>
            <w:tcW w:w="43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386229A4" w14:textId="77777777" w:rsidR="004E3D1F" w:rsidRPr="0057086A" w:rsidRDefault="004E3D1F" w:rsidP="004A15EC">
            <w:pPr>
              <w:spacing w:line="240" w:lineRule="auto"/>
              <w:rPr>
                <w:rFonts w:eastAsia="Times New Roman" w:cs="Arial"/>
                <w:color w:val="000000"/>
                <w:spacing w:val="0"/>
                <w:lang w:val="en-US" w:eastAsia="bg-BG"/>
              </w:rPr>
            </w:pPr>
            <w:r w:rsidRPr="0057086A">
              <w:rPr>
                <w:rFonts w:eastAsia="Times New Roman" w:cs="Arial"/>
                <w:color w:val="000000"/>
                <w:spacing w:val="0"/>
                <w:lang w:eastAsia="bg-BG"/>
              </w:rPr>
              <w:t>за закупуване 01.07.202</w:t>
            </w:r>
            <w:r>
              <w:rPr>
                <w:rFonts w:eastAsia="Times New Roman" w:cs="Arial"/>
                <w:color w:val="000000"/>
                <w:spacing w:val="0"/>
                <w:lang w:val="en-US" w:eastAsia="bg-BG"/>
              </w:rPr>
              <w:t>4</w:t>
            </w:r>
            <w:r w:rsidRPr="0057086A">
              <w:rPr>
                <w:rFonts w:eastAsia="Times New Roman" w:cs="Arial"/>
                <w:color w:val="000000"/>
                <w:spacing w:val="0"/>
                <w:lang w:eastAsia="bg-BG"/>
              </w:rPr>
              <w:t>-30.06.202</w:t>
            </w:r>
            <w:r>
              <w:rPr>
                <w:rFonts w:eastAsia="Times New Roman" w:cs="Arial"/>
                <w:color w:val="000000"/>
                <w:spacing w:val="0"/>
                <w:lang w:val="en-US" w:eastAsia="bg-BG"/>
              </w:rPr>
              <w:t>5</w:t>
            </w:r>
          </w:p>
        </w:tc>
        <w:tc>
          <w:tcPr>
            <w:tcW w:w="953"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28E4459B" w14:textId="77777777" w:rsidR="004E3D1F" w:rsidRPr="0057086A" w:rsidRDefault="004E3D1F" w:rsidP="004A15EC">
            <w:pPr>
              <w:spacing w:line="240" w:lineRule="auto"/>
              <w:jc w:val="center"/>
              <w:rPr>
                <w:rFonts w:eastAsia="Times New Roman" w:cs="Arial"/>
                <w:color w:val="000000"/>
                <w:spacing w:val="0"/>
                <w:lang w:val="en-US" w:eastAsia="bg-BG"/>
              </w:rPr>
            </w:pPr>
          </w:p>
        </w:tc>
        <w:tc>
          <w:tcPr>
            <w:tcW w:w="1701"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584F1AA8" w14:textId="77777777" w:rsidR="004E3D1F" w:rsidRPr="0057086A" w:rsidRDefault="004E3D1F" w:rsidP="004A15EC">
            <w:pPr>
              <w:spacing w:line="240" w:lineRule="auto"/>
              <w:jc w:val="right"/>
              <w:rPr>
                <w:rFonts w:eastAsia="Times New Roman" w:cs="Arial"/>
                <w:color w:val="000000"/>
                <w:spacing w:val="0"/>
                <w:lang w:eastAsia="bg-BG"/>
              </w:rPr>
            </w:pPr>
          </w:p>
        </w:tc>
        <w:tc>
          <w:tcPr>
            <w:tcW w:w="1394"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6DBE8694" w14:textId="77777777" w:rsidR="004E3D1F" w:rsidRPr="0057086A" w:rsidRDefault="004E3D1F" w:rsidP="004A15EC">
            <w:pPr>
              <w:spacing w:line="240" w:lineRule="auto"/>
              <w:jc w:val="right"/>
              <w:rPr>
                <w:rFonts w:eastAsia="Times New Roman" w:cs="Arial"/>
                <w:color w:val="000000"/>
                <w:spacing w:val="0"/>
                <w:lang w:eastAsia="bg-BG"/>
              </w:rPr>
            </w:pPr>
          </w:p>
        </w:tc>
        <w:tc>
          <w:tcPr>
            <w:tcW w:w="11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413DDD04" w14:textId="0DC0DFBC" w:rsidR="004E3D1F" w:rsidRPr="004177F3" w:rsidRDefault="004177F3" w:rsidP="004A15EC">
            <w:pPr>
              <w:spacing w:line="240" w:lineRule="auto"/>
              <w:jc w:val="right"/>
              <w:rPr>
                <w:rFonts w:eastAsia="Times New Roman" w:cs="Arial"/>
                <w:color w:val="000000"/>
                <w:spacing w:val="0"/>
                <w:lang w:val="en-US" w:eastAsia="bg-BG"/>
              </w:rPr>
            </w:pPr>
            <w:r>
              <w:rPr>
                <w:rFonts w:eastAsia="Times New Roman" w:cs="Arial"/>
                <w:color w:val="000000"/>
                <w:spacing w:val="0"/>
                <w:lang w:val="en-US" w:eastAsia="bg-BG"/>
              </w:rPr>
              <w:t xml:space="preserve">xxx </w:t>
            </w:r>
            <w:proofErr w:type="spellStart"/>
            <w:r>
              <w:rPr>
                <w:rFonts w:eastAsia="Times New Roman" w:cs="Arial"/>
                <w:color w:val="000000"/>
                <w:spacing w:val="0"/>
                <w:lang w:val="en-US" w:eastAsia="bg-BG"/>
              </w:rPr>
              <w:t>xxx</w:t>
            </w:r>
            <w:proofErr w:type="spellEnd"/>
          </w:p>
        </w:tc>
      </w:tr>
      <w:tr w:rsidR="004E3D1F" w:rsidRPr="0057086A" w14:paraId="7161C99B" w14:textId="77777777" w:rsidTr="004A15EC">
        <w:trPr>
          <w:trHeight w:val="270"/>
        </w:trPr>
        <w:tc>
          <w:tcPr>
            <w:tcW w:w="43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38B104EF" w14:textId="77777777" w:rsidR="004E3D1F" w:rsidRPr="0057086A" w:rsidRDefault="004E3D1F" w:rsidP="004A15EC">
            <w:pPr>
              <w:spacing w:line="240" w:lineRule="auto"/>
              <w:rPr>
                <w:rFonts w:eastAsia="Times New Roman" w:cs="Arial"/>
                <w:color w:val="000000"/>
                <w:spacing w:val="0"/>
                <w:lang w:eastAsia="bg-BG"/>
              </w:rPr>
            </w:pPr>
            <w:r w:rsidRPr="0057086A">
              <w:rPr>
                <w:rFonts w:cs="Arial"/>
                <w:color w:val="000000"/>
              </w:rPr>
              <w:t xml:space="preserve">Цена </w:t>
            </w:r>
          </w:p>
        </w:tc>
        <w:tc>
          <w:tcPr>
            <w:tcW w:w="953"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7A17142C" w14:textId="77777777" w:rsidR="004E3D1F" w:rsidRPr="0057086A" w:rsidRDefault="004E3D1F" w:rsidP="004A15EC">
            <w:pPr>
              <w:spacing w:line="240" w:lineRule="auto"/>
              <w:jc w:val="center"/>
              <w:rPr>
                <w:rFonts w:eastAsia="Times New Roman" w:cs="Arial"/>
                <w:color w:val="000000"/>
                <w:spacing w:val="0"/>
                <w:lang w:eastAsia="bg-BG"/>
              </w:rPr>
            </w:pPr>
            <w:r w:rsidRPr="0057086A">
              <w:rPr>
                <w:rFonts w:cs="Arial"/>
                <w:color w:val="000000"/>
              </w:rPr>
              <w:t>лв./t</w:t>
            </w:r>
          </w:p>
        </w:tc>
        <w:tc>
          <w:tcPr>
            <w:tcW w:w="1701"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626DC389" w14:textId="77777777" w:rsidR="004E3D1F" w:rsidRPr="0057086A" w:rsidRDefault="004E3D1F" w:rsidP="004A15EC">
            <w:pPr>
              <w:spacing w:line="240" w:lineRule="auto"/>
              <w:jc w:val="right"/>
              <w:rPr>
                <w:rFonts w:eastAsia="Times New Roman" w:cs="Arial"/>
                <w:color w:val="000000"/>
                <w:spacing w:val="0"/>
                <w:lang w:eastAsia="bg-BG"/>
              </w:rPr>
            </w:pPr>
          </w:p>
        </w:tc>
        <w:tc>
          <w:tcPr>
            <w:tcW w:w="1394"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27F339CF" w14:textId="77777777" w:rsidR="004E3D1F" w:rsidRPr="0057086A" w:rsidRDefault="004E3D1F" w:rsidP="004A15EC">
            <w:pPr>
              <w:spacing w:line="240" w:lineRule="auto"/>
              <w:jc w:val="right"/>
              <w:rPr>
                <w:rFonts w:eastAsia="Times New Roman" w:cs="Arial"/>
                <w:color w:val="000000"/>
                <w:spacing w:val="0"/>
                <w:lang w:eastAsia="bg-BG"/>
              </w:rPr>
            </w:pPr>
          </w:p>
        </w:tc>
        <w:tc>
          <w:tcPr>
            <w:tcW w:w="11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38FD8846" w14:textId="7CADFF5E" w:rsidR="004E3D1F" w:rsidRPr="0057086A" w:rsidRDefault="004177F3" w:rsidP="004A15EC">
            <w:pPr>
              <w:spacing w:line="240" w:lineRule="auto"/>
              <w:jc w:val="right"/>
              <w:rPr>
                <w:rFonts w:eastAsia="Times New Roman" w:cs="Arial"/>
                <w:color w:val="000000"/>
                <w:spacing w:val="0"/>
                <w:lang w:eastAsia="bg-BG"/>
              </w:rPr>
            </w:pPr>
            <w:proofErr w:type="spellStart"/>
            <w:r>
              <w:rPr>
                <w:rFonts w:eastAsia="Times New Roman" w:cs="Arial"/>
                <w:color w:val="000000"/>
                <w:spacing w:val="0"/>
                <w:lang w:val="en-US" w:eastAsia="bg-BG"/>
              </w:rPr>
              <w:t>xxx.xx</w:t>
            </w:r>
            <w:proofErr w:type="spellEnd"/>
          </w:p>
        </w:tc>
      </w:tr>
      <w:tr w:rsidR="004E3D1F" w:rsidRPr="0057086A" w14:paraId="5DCF5B4C" w14:textId="77777777" w:rsidTr="004A15EC">
        <w:trPr>
          <w:trHeight w:val="270"/>
        </w:trPr>
        <w:tc>
          <w:tcPr>
            <w:tcW w:w="43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4F8039E4" w14:textId="77777777" w:rsidR="004E3D1F" w:rsidRPr="0057086A" w:rsidRDefault="004E3D1F" w:rsidP="004A15EC">
            <w:pPr>
              <w:spacing w:line="240" w:lineRule="auto"/>
              <w:rPr>
                <w:rFonts w:eastAsia="Times New Roman" w:cs="Arial"/>
                <w:b/>
                <w:color w:val="000000"/>
                <w:spacing w:val="0"/>
                <w:lang w:eastAsia="bg-BG"/>
              </w:rPr>
            </w:pPr>
            <w:r w:rsidRPr="0057086A">
              <w:rPr>
                <w:rFonts w:eastAsia="Times New Roman" w:cs="Arial"/>
                <w:b/>
                <w:color w:val="000000"/>
                <w:spacing w:val="0"/>
                <w:lang w:eastAsia="bg-BG"/>
              </w:rPr>
              <w:t>Разход</w:t>
            </w:r>
          </w:p>
        </w:tc>
        <w:tc>
          <w:tcPr>
            <w:tcW w:w="953"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0539BFF7" w14:textId="77777777" w:rsidR="004E3D1F" w:rsidRPr="0057086A" w:rsidRDefault="004E3D1F" w:rsidP="004A15EC">
            <w:pPr>
              <w:spacing w:line="240" w:lineRule="auto"/>
              <w:rPr>
                <w:rFonts w:eastAsia="Times New Roman" w:cs="Arial"/>
                <w:b/>
                <w:color w:val="000000"/>
                <w:spacing w:val="0"/>
                <w:lang w:eastAsia="bg-BG"/>
              </w:rPr>
            </w:pPr>
            <w:proofErr w:type="spellStart"/>
            <w:r w:rsidRPr="0057086A">
              <w:rPr>
                <w:rFonts w:eastAsia="Times New Roman" w:cs="Arial"/>
                <w:b/>
                <w:color w:val="000000"/>
                <w:spacing w:val="0"/>
                <w:lang w:eastAsia="bg-BG"/>
              </w:rPr>
              <w:t>хил.лв</w:t>
            </w:r>
            <w:proofErr w:type="spellEnd"/>
            <w:r w:rsidRPr="0057086A">
              <w:rPr>
                <w:rFonts w:eastAsia="Times New Roman" w:cs="Arial"/>
                <w:b/>
                <w:color w:val="000000"/>
                <w:spacing w:val="0"/>
                <w:lang w:eastAsia="bg-BG"/>
              </w:rPr>
              <w:t>.</w:t>
            </w:r>
          </w:p>
        </w:tc>
        <w:tc>
          <w:tcPr>
            <w:tcW w:w="1701"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13861BEF" w14:textId="77777777" w:rsidR="004E3D1F" w:rsidRPr="0057086A" w:rsidRDefault="004E3D1F" w:rsidP="004A15EC">
            <w:pPr>
              <w:spacing w:line="240" w:lineRule="auto"/>
              <w:jc w:val="right"/>
              <w:rPr>
                <w:rFonts w:eastAsia="Times New Roman" w:cs="Arial"/>
                <w:b/>
                <w:color w:val="000000"/>
                <w:spacing w:val="0"/>
                <w:lang w:eastAsia="bg-BG"/>
              </w:rPr>
            </w:pPr>
          </w:p>
        </w:tc>
        <w:tc>
          <w:tcPr>
            <w:tcW w:w="1394"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1AEA51F4" w14:textId="77777777" w:rsidR="004E3D1F" w:rsidRPr="0057086A" w:rsidRDefault="004E3D1F" w:rsidP="004A15EC">
            <w:pPr>
              <w:spacing w:line="240" w:lineRule="auto"/>
              <w:jc w:val="right"/>
              <w:rPr>
                <w:rFonts w:eastAsia="Times New Roman" w:cs="Arial"/>
                <w:b/>
                <w:color w:val="000000"/>
                <w:spacing w:val="0"/>
                <w:lang w:eastAsia="bg-BG"/>
              </w:rPr>
            </w:pPr>
          </w:p>
        </w:tc>
        <w:tc>
          <w:tcPr>
            <w:tcW w:w="11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2A56C4F9" w14:textId="254952C0" w:rsidR="004E3D1F" w:rsidRPr="009A43C5" w:rsidRDefault="004177F3" w:rsidP="004A15EC">
            <w:pPr>
              <w:spacing w:line="240" w:lineRule="auto"/>
              <w:jc w:val="right"/>
              <w:rPr>
                <w:rFonts w:eastAsia="Times New Roman"/>
                <w:b/>
                <w:spacing w:val="0"/>
                <w:lang w:val="en-US" w:eastAsia="bg-BG"/>
              </w:rPr>
            </w:pPr>
            <w:r>
              <w:rPr>
                <w:b/>
                <w:lang w:val="en-US"/>
              </w:rPr>
              <w:t>xx xxx</w:t>
            </w:r>
          </w:p>
        </w:tc>
      </w:tr>
    </w:tbl>
    <w:p w14:paraId="5F573AC2" w14:textId="77777777" w:rsidR="009D4411" w:rsidRPr="0057086A" w:rsidRDefault="009D4411" w:rsidP="009D4411">
      <w:pPr>
        <w:ind w:left="709"/>
      </w:pPr>
    </w:p>
    <w:p w14:paraId="58664A2D" w14:textId="19206FA0" w:rsidR="00825B2D" w:rsidRPr="00EA3C44" w:rsidRDefault="00BE29B7" w:rsidP="00226ECF">
      <w:pPr>
        <w:pStyle w:val="Heading3"/>
        <w:numPr>
          <w:ilvl w:val="3"/>
          <w:numId w:val="12"/>
        </w:numPr>
        <w:tabs>
          <w:tab w:val="clear" w:pos="709"/>
        </w:tabs>
        <w:spacing w:before="240" w:line="240" w:lineRule="auto"/>
        <w:rPr>
          <w:b/>
          <w:color w:val="000000" w:themeColor="text1"/>
          <w:sz w:val="20"/>
        </w:rPr>
      </w:pPr>
      <w:r w:rsidRPr="00EA3C44">
        <w:rPr>
          <w:b/>
          <w:color w:val="000000" w:themeColor="text1"/>
          <w:sz w:val="20"/>
        </w:rPr>
        <w:t>Разходи за балансиране по Правила за търговия с ЕЕ</w:t>
      </w:r>
    </w:p>
    <w:p w14:paraId="453D7535" w14:textId="77777777" w:rsidR="00825B2D" w:rsidRPr="002C3841" w:rsidRDefault="00825B2D" w:rsidP="009242AD">
      <w:pPr>
        <w:ind w:left="709"/>
        <w:jc w:val="both"/>
        <w:rPr>
          <w:color w:val="FF0000"/>
        </w:rPr>
      </w:pPr>
    </w:p>
    <w:p w14:paraId="78A3B767" w14:textId="5621C2F7" w:rsidR="003F4779" w:rsidRPr="00912DD7" w:rsidRDefault="003F4779" w:rsidP="003F4779">
      <w:pPr>
        <w:ind w:left="709"/>
        <w:rPr>
          <w:color w:val="000000" w:themeColor="text1"/>
        </w:rPr>
      </w:pPr>
      <w:r w:rsidRPr="00912DD7">
        <w:rPr>
          <w:color w:val="000000" w:themeColor="text1"/>
        </w:rPr>
        <w:t xml:space="preserve">Разходите предизвикани за балансиране по правила за търговия с ЕЕ се оценяват на </w:t>
      </w:r>
      <w:r w:rsidR="0010510A">
        <w:rPr>
          <w:color w:val="000000" w:themeColor="text1"/>
          <w:lang w:val="en-US"/>
        </w:rPr>
        <w:t>xxx</w:t>
      </w:r>
      <w:r w:rsidRPr="00912DD7">
        <w:rPr>
          <w:color w:val="000000" w:themeColor="text1"/>
        </w:rPr>
        <w:t xml:space="preserve"> хил. лв., като се планират на база сумарен </w:t>
      </w:r>
      <w:proofErr w:type="spellStart"/>
      <w:r w:rsidRPr="00912DD7">
        <w:rPr>
          <w:color w:val="000000" w:themeColor="text1"/>
        </w:rPr>
        <w:t>небаланс</w:t>
      </w:r>
      <w:proofErr w:type="spellEnd"/>
      <w:r w:rsidRPr="00912DD7">
        <w:rPr>
          <w:color w:val="000000" w:themeColor="text1"/>
        </w:rPr>
        <w:t xml:space="preserve">  в размер на </w:t>
      </w:r>
      <w:proofErr w:type="spellStart"/>
      <w:r w:rsidR="006C467A">
        <w:rPr>
          <w:color w:val="000000" w:themeColor="text1"/>
          <w:lang w:val="en-US"/>
        </w:rPr>
        <w:t>x,x</w:t>
      </w:r>
      <w:proofErr w:type="spellEnd"/>
      <w:r w:rsidRPr="00912DD7">
        <w:rPr>
          <w:color w:val="000000" w:themeColor="text1"/>
        </w:rPr>
        <w:t xml:space="preserve">% от планираните продажби на електроенергия </w:t>
      </w:r>
      <w:proofErr w:type="spellStart"/>
      <w:r w:rsidRPr="00912DD7">
        <w:rPr>
          <w:color w:val="000000" w:themeColor="text1"/>
        </w:rPr>
        <w:t>остойностени</w:t>
      </w:r>
      <w:proofErr w:type="spellEnd"/>
      <w:r w:rsidRPr="00912DD7">
        <w:rPr>
          <w:color w:val="000000" w:themeColor="text1"/>
        </w:rPr>
        <w:t xml:space="preserve"> със среднопретеглените цени за отчетния период 2023 г.;</w:t>
      </w:r>
    </w:p>
    <w:p w14:paraId="4D5FA661" w14:textId="77777777" w:rsidR="00BE29B7" w:rsidRPr="00912DD7" w:rsidRDefault="00BE29B7" w:rsidP="00BE29B7">
      <w:pPr>
        <w:spacing w:line="240" w:lineRule="exact"/>
        <w:ind w:left="360"/>
        <w:rPr>
          <w:rFonts w:cs="Arial"/>
          <w:color w:val="000000" w:themeColor="text1"/>
          <w:sz w:val="20"/>
          <w:szCs w:val="20"/>
        </w:rPr>
      </w:pPr>
    </w:p>
    <w:tbl>
      <w:tblPr>
        <w:tblW w:w="4997" w:type="pct"/>
        <w:tblInd w:w="5" w:type="dxa"/>
        <w:tblLook w:val="04A0" w:firstRow="1" w:lastRow="0" w:firstColumn="1" w:lastColumn="0" w:noHBand="0" w:noVBand="1"/>
      </w:tblPr>
      <w:tblGrid>
        <w:gridCol w:w="3450"/>
        <w:gridCol w:w="994"/>
        <w:gridCol w:w="1726"/>
        <w:gridCol w:w="1726"/>
        <w:gridCol w:w="1726"/>
      </w:tblGrid>
      <w:tr w:rsidR="00912DD7" w:rsidRPr="00912DD7" w14:paraId="6A1329CB" w14:textId="77777777" w:rsidTr="00495715">
        <w:trPr>
          <w:trHeight w:val="531"/>
        </w:trPr>
        <w:tc>
          <w:tcPr>
            <w:tcW w:w="3450" w:type="dxa"/>
            <w:tcBorders>
              <w:top w:val="single" w:sz="4" w:space="0" w:color="auto"/>
              <w:left w:val="single" w:sz="4" w:space="0" w:color="auto"/>
              <w:bottom w:val="single" w:sz="4" w:space="0" w:color="auto"/>
              <w:right w:val="single" w:sz="4" w:space="0" w:color="auto"/>
            </w:tcBorders>
            <w:shd w:val="clear" w:color="auto" w:fill="auto"/>
          </w:tcPr>
          <w:p w14:paraId="7F8C577F" w14:textId="4C5857D9" w:rsidR="00773684" w:rsidRPr="00912DD7" w:rsidRDefault="00773684" w:rsidP="00773684">
            <w:pPr>
              <w:rPr>
                <w:rFonts w:cs="Arial"/>
                <w:color w:val="000000" w:themeColor="text1"/>
                <w:sz w:val="20"/>
                <w:szCs w:val="20"/>
                <w:lang w:eastAsia="en-US"/>
              </w:rPr>
            </w:pPr>
            <w:r w:rsidRPr="00912DD7">
              <w:rPr>
                <w:color w:val="000000" w:themeColor="text1"/>
              </w:rPr>
              <w:t>НАИМЕНОВАНИЕ НА РАЗХОДА</w:t>
            </w:r>
          </w:p>
        </w:tc>
        <w:tc>
          <w:tcPr>
            <w:tcW w:w="994" w:type="dxa"/>
            <w:tcBorders>
              <w:top w:val="single" w:sz="4" w:space="0" w:color="auto"/>
              <w:left w:val="nil"/>
              <w:bottom w:val="single" w:sz="4" w:space="0" w:color="auto"/>
              <w:right w:val="single" w:sz="4" w:space="0" w:color="auto"/>
            </w:tcBorders>
            <w:shd w:val="clear" w:color="auto" w:fill="auto"/>
            <w:noWrap/>
          </w:tcPr>
          <w:p w14:paraId="46059241" w14:textId="742EFC24" w:rsidR="00773684" w:rsidRPr="00912DD7" w:rsidRDefault="00773684" w:rsidP="00773684">
            <w:pPr>
              <w:jc w:val="center"/>
              <w:rPr>
                <w:rFonts w:cs="Arial"/>
                <w:color w:val="000000" w:themeColor="text1"/>
                <w:sz w:val="20"/>
                <w:szCs w:val="20"/>
                <w:lang w:eastAsia="en-US"/>
              </w:rPr>
            </w:pPr>
            <w:r w:rsidRPr="00912DD7">
              <w:rPr>
                <w:color w:val="000000" w:themeColor="text1"/>
              </w:rPr>
              <w:t>МЯРКА</w:t>
            </w: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5EC8AFD6" w14:textId="001B1791" w:rsidR="00773684" w:rsidRPr="00912DD7" w:rsidRDefault="00773684" w:rsidP="00773684">
            <w:pPr>
              <w:jc w:val="center"/>
              <w:rPr>
                <w:color w:val="000000" w:themeColor="text1"/>
              </w:rPr>
            </w:pPr>
            <w:r w:rsidRPr="00912DD7">
              <w:rPr>
                <w:rFonts w:eastAsia="Times New Roman" w:cs="Arial"/>
                <w:color w:val="000000" w:themeColor="text1"/>
                <w:spacing w:val="0"/>
                <w:sz w:val="20"/>
                <w:szCs w:val="20"/>
                <w:lang w:eastAsia="en-US"/>
              </w:rPr>
              <w:t>Отчет за базовата 2023 г.</w:t>
            </w: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540E97FB" w14:textId="6BB47849" w:rsidR="00773684" w:rsidRPr="00912DD7" w:rsidRDefault="00773684" w:rsidP="00773684">
            <w:pPr>
              <w:jc w:val="center"/>
              <w:rPr>
                <w:color w:val="000000" w:themeColor="text1"/>
              </w:rPr>
            </w:pPr>
            <w:r w:rsidRPr="00912DD7">
              <w:rPr>
                <w:rFonts w:eastAsia="Times New Roman" w:cs="Arial"/>
                <w:color w:val="000000" w:themeColor="text1"/>
                <w:spacing w:val="0"/>
                <w:sz w:val="20"/>
                <w:szCs w:val="20"/>
                <w:lang w:eastAsia="en-US"/>
              </w:rPr>
              <w:t>Прогноза в цени X</w:t>
            </w:r>
            <w:r w:rsidRPr="00912DD7">
              <w:rPr>
                <w:rFonts w:eastAsia="Times New Roman" w:cs="Arial"/>
                <w:color w:val="000000" w:themeColor="text1"/>
                <w:spacing w:val="0"/>
                <w:sz w:val="20"/>
                <w:szCs w:val="20"/>
                <w:lang w:val="en-US" w:eastAsia="en-US"/>
              </w:rPr>
              <w:t>V</w:t>
            </w:r>
            <w:r w:rsidRPr="00912DD7">
              <w:rPr>
                <w:rFonts w:eastAsia="Times New Roman" w:cs="Arial"/>
                <w:color w:val="000000" w:themeColor="text1"/>
                <w:spacing w:val="0"/>
                <w:sz w:val="20"/>
                <w:szCs w:val="20"/>
                <w:lang w:eastAsia="en-US"/>
              </w:rPr>
              <w:t>-ти РП   01.07.2024 г.</w:t>
            </w: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4EE95FF5" w14:textId="519E898A" w:rsidR="00773684" w:rsidRPr="00912DD7" w:rsidRDefault="00773684" w:rsidP="00773684">
            <w:pPr>
              <w:jc w:val="center"/>
              <w:rPr>
                <w:color w:val="000000" w:themeColor="text1"/>
              </w:rPr>
            </w:pPr>
            <w:r w:rsidRPr="00912DD7">
              <w:rPr>
                <w:rFonts w:eastAsia="Times New Roman" w:cs="Arial"/>
                <w:color w:val="000000" w:themeColor="text1"/>
                <w:spacing w:val="0"/>
                <w:sz w:val="20"/>
                <w:szCs w:val="20"/>
                <w:lang w:eastAsia="en-US"/>
              </w:rPr>
              <w:t>Разлика          X</w:t>
            </w:r>
            <w:r w:rsidRPr="00912DD7">
              <w:rPr>
                <w:rFonts w:eastAsia="Times New Roman" w:cs="Arial"/>
                <w:color w:val="000000" w:themeColor="text1"/>
                <w:spacing w:val="0"/>
                <w:sz w:val="20"/>
                <w:szCs w:val="20"/>
                <w:lang w:val="en-US" w:eastAsia="en-US"/>
              </w:rPr>
              <w:t>V</w:t>
            </w:r>
            <w:r w:rsidRPr="00912DD7">
              <w:rPr>
                <w:rFonts w:eastAsia="Times New Roman" w:cs="Arial"/>
                <w:color w:val="000000" w:themeColor="text1"/>
                <w:spacing w:val="0"/>
                <w:sz w:val="20"/>
                <w:szCs w:val="20"/>
                <w:lang w:eastAsia="en-US"/>
              </w:rPr>
              <w:t xml:space="preserve"> РП – 2023 г.</w:t>
            </w:r>
          </w:p>
        </w:tc>
      </w:tr>
      <w:tr w:rsidR="00912DD7" w:rsidRPr="00912DD7" w14:paraId="1E30312A" w14:textId="77777777" w:rsidTr="00E53A91">
        <w:trPr>
          <w:trHeight w:val="531"/>
        </w:trPr>
        <w:tc>
          <w:tcPr>
            <w:tcW w:w="3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9C4D9" w14:textId="77777777" w:rsidR="00E53A91" w:rsidRPr="00912DD7" w:rsidRDefault="00E53A91" w:rsidP="00E53A91">
            <w:pPr>
              <w:rPr>
                <w:rFonts w:cs="Arial"/>
                <w:color w:val="000000" w:themeColor="text1"/>
                <w:sz w:val="20"/>
                <w:szCs w:val="20"/>
                <w:lang w:eastAsia="en-US"/>
              </w:rPr>
            </w:pPr>
            <w:r w:rsidRPr="00912DD7">
              <w:rPr>
                <w:rFonts w:cs="Arial"/>
                <w:color w:val="000000" w:themeColor="text1"/>
                <w:sz w:val="20"/>
                <w:szCs w:val="20"/>
                <w:lang w:eastAsia="en-US"/>
              </w:rPr>
              <w:t>Разходи за балансиране по Правила за търговия с ЕЕ</w:t>
            </w:r>
          </w:p>
        </w:tc>
        <w:tc>
          <w:tcPr>
            <w:tcW w:w="994" w:type="dxa"/>
            <w:tcBorders>
              <w:top w:val="single" w:sz="4" w:space="0" w:color="auto"/>
              <w:left w:val="nil"/>
              <w:bottom w:val="single" w:sz="4" w:space="0" w:color="auto"/>
              <w:right w:val="single" w:sz="4" w:space="0" w:color="auto"/>
            </w:tcBorders>
            <w:shd w:val="clear" w:color="auto" w:fill="auto"/>
            <w:noWrap/>
            <w:vAlign w:val="bottom"/>
            <w:hideMark/>
          </w:tcPr>
          <w:p w14:paraId="4651985E" w14:textId="77777777" w:rsidR="00E53A91" w:rsidRPr="00912DD7" w:rsidRDefault="00E53A91" w:rsidP="00E53A91">
            <w:pPr>
              <w:jc w:val="center"/>
              <w:rPr>
                <w:rFonts w:cs="Arial"/>
                <w:color w:val="000000" w:themeColor="text1"/>
                <w:sz w:val="20"/>
                <w:szCs w:val="20"/>
                <w:lang w:eastAsia="en-US"/>
              </w:rPr>
            </w:pPr>
            <w:r w:rsidRPr="00912DD7">
              <w:rPr>
                <w:rFonts w:cs="Arial"/>
                <w:color w:val="000000" w:themeColor="text1"/>
                <w:sz w:val="20"/>
                <w:szCs w:val="20"/>
                <w:lang w:eastAsia="en-US"/>
              </w:rPr>
              <w:t>хил. лв.</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434F1854" w14:textId="0556C770" w:rsidR="00E53A91" w:rsidRPr="0010510A" w:rsidRDefault="0010510A" w:rsidP="00E53A91">
            <w:pPr>
              <w:jc w:val="center"/>
              <w:rPr>
                <w:rFonts w:cs="Arial"/>
                <w:color w:val="000000" w:themeColor="text1"/>
                <w:sz w:val="20"/>
                <w:szCs w:val="20"/>
                <w:lang w:val="en-US" w:eastAsia="en-US"/>
              </w:rPr>
            </w:pPr>
            <w:r>
              <w:rPr>
                <w:rFonts w:cs="Arial"/>
                <w:color w:val="000000" w:themeColor="text1"/>
                <w:sz w:val="20"/>
                <w:szCs w:val="20"/>
                <w:lang w:val="en-US"/>
              </w:rPr>
              <w:t>xx</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4C65219C" w14:textId="45760DB0" w:rsidR="00E53A91" w:rsidRPr="0010510A" w:rsidRDefault="0010510A" w:rsidP="00E53A91">
            <w:pPr>
              <w:jc w:val="center"/>
              <w:rPr>
                <w:rFonts w:cs="Arial"/>
                <w:color w:val="000000" w:themeColor="text1"/>
                <w:sz w:val="20"/>
                <w:szCs w:val="20"/>
                <w:lang w:val="en-US" w:eastAsia="en-US"/>
              </w:rPr>
            </w:pPr>
            <w:r>
              <w:rPr>
                <w:rFonts w:cs="Arial"/>
                <w:color w:val="000000" w:themeColor="text1"/>
                <w:sz w:val="20"/>
                <w:szCs w:val="20"/>
                <w:lang w:val="en-US"/>
              </w:rPr>
              <w:t>xxx</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5EC7485E" w14:textId="2151BDAF" w:rsidR="00E53A91" w:rsidRPr="0010510A" w:rsidRDefault="0010510A" w:rsidP="00E53A91">
            <w:pPr>
              <w:jc w:val="center"/>
              <w:rPr>
                <w:rFonts w:cs="Arial"/>
                <w:color w:val="000000" w:themeColor="text1"/>
                <w:sz w:val="20"/>
                <w:szCs w:val="20"/>
                <w:lang w:val="en-US" w:eastAsia="en-US"/>
              </w:rPr>
            </w:pPr>
            <w:r>
              <w:rPr>
                <w:rFonts w:cs="Arial"/>
                <w:color w:val="000000" w:themeColor="text1"/>
                <w:sz w:val="20"/>
                <w:szCs w:val="20"/>
                <w:lang w:val="en-US"/>
              </w:rPr>
              <w:t>xx</w:t>
            </w:r>
          </w:p>
        </w:tc>
      </w:tr>
    </w:tbl>
    <w:p w14:paraId="19ECBCFE" w14:textId="09ECF001" w:rsidR="00917171" w:rsidRPr="0057086A" w:rsidRDefault="00917171" w:rsidP="009242AD">
      <w:pPr>
        <w:ind w:left="709"/>
        <w:jc w:val="both"/>
      </w:pPr>
    </w:p>
    <w:p w14:paraId="7FB7843F" w14:textId="05C9B155" w:rsidR="00EE7AF8" w:rsidRPr="0057086A" w:rsidRDefault="00EE7AF8" w:rsidP="00EE7AF8">
      <w:pPr>
        <w:pStyle w:val="Heading3"/>
        <w:numPr>
          <w:ilvl w:val="3"/>
          <w:numId w:val="12"/>
        </w:numPr>
        <w:tabs>
          <w:tab w:val="clear" w:pos="709"/>
        </w:tabs>
        <w:spacing w:before="240" w:line="240" w:lineRule="auto"/>
        <w:rPr>
          <w:b/>
          <w:sz w:val="20"/>
        </w:rPr>
      </w:pPr>
      <w:bookmarkStart w:id="22" w:name="_Hlk162273326"/>
      <w:r w:rsidRPr="0057086A">
        <w:rPr>
          <w:b/>
          <w:sz w:val="20"/>
        </w:rPr>
        <w:t xml:space="preserve">Разходи </w:t>
      </w:r>
      <w:r w:rsidR="00230BDB" w:rsidRPr="0057086A">
        <w:rPr>
          <w:b/>
          <w:sz w:val="20"/>
        </w:rPr>
        <w:t>за неустойки</w:t>
      </w:r>
      <w:r w:rsidRPr="0057086A">
        <w:rPr>
          <w:b/>
          <w:sz w:val="20"/>
        </w:rPr>
        <w:t xml:space="preserve"> </w:t>
      </w:r>
      <w:r w:rsidR="00230BDB" w:rsidRPr="0057086A">
        <w:rPr>
          <w:b/>
          <w:sz w:val="20"/>
        </w:rPr>
        <w:t xml:space="preserve">за покупка </w:t>
      </w:r>
      <w:r w:rsidRPr="0057086A">
        <w:rPr>
          <w:b/>
          <w:sz w:val="20"/>
        </w:rPr>
        <w:t>на природен газ извън график</w:t>
      </w:r>
    </w:p>
    <w:p w14:paraId="4824E8C3" w14:textId="77777777" w:rsidR="00822DC5" w:rsidRDefault="00822DC5" w:rsidP="00822DC5">
      <w:pPr>
        <w:ind w:left="709"/>
      </w:pPr>
    </w:p>
    <w:p w14:paraId="3E5973ED" w14:textId="310CE6DD" w:rsidR="00EE7AF8" w:rsidRPr="007C67AB" w:rsidRDefault="00822DC5" w:rsidP="00822DC5">
      <w:pPr>
        <w:ind w:left="709"/>
        <w:rPr>
          <w:color w:val="FF0000"/>
        </w:rPr>
      </w:pPr>
      <w:r>
        <w:t xml:space="preserve">Калкулация и признаване на разходи от </w:t>
      </w:r>
      <w:r w:rsidR="0010510A">
        <w:rPr>
          <w:lang w:val="en-US"/>
        </w:rPr>
        <w:t>xx</w:t>
      </w:r>
      <w:r>
        <w:t xml:space="preserve"> хил. лв. за прието количество над 107% съответно под 93% от дневното договорено количество (ДДК) по договор с Булгаргаз ЕАД за продажба на природен газ, калкулирани като процент от ДДК природен газ умножен по разликата между дневната средна цена за балансиране за съответния газов ден и цената на Булгаргаз ЕАД  за количества над 107% от ДДК (т. 6.3. от договор с Булгаргаз ЕАД за продажба на природен газ) или разликата между цената на Булгаргаз ЕАД и дневната средна цена при балансиране за количества под 93% от ДДК (т. 6.4. от договор с Булгаргаз ЕАД за продажба на природен газ).</w:t>
      </w:r>
      <w:r w:rsidR="00EE7AF8" w:rsidRPr="007C67AB">
        <w:rPr>
          <w:color w:val="FF0000"/>
        </w:rPr>
        <w:t>.</w:t>
      </w:r>
    </w:p>
    <w:p w14:paraId="045B017C" w14:textId="77777777" w:rsidR="00D310C3" w:rsidRPr="0057086A" w:rsidRDefault="00D310C3" w:rsidP="00EE7AF8">
      <w:pPr>
        <w:ind w:left="709"/>
      </w:pPr>
    </w:p>
    <w:p w14:paraId="09A7943D" w14:textId="77777777" w:rsidR="007E2B55" w:rsidRPr="0057086A" w:rsidRDefault="007E2B55" w:rsidP="00EE7AF8">
      <w:pPr>
        <w:ind w:left="709"/>
      </w:pPr>
    </w:p>
    <w:tbl>
      <w:tblPr>
        <w:tblW w:w="4997" w:type="pct"/>
        <w:tblInd w:w="5" w:type="dxa"/>
        <w:tblLook w:val="04A0" w:firstRow="1" w:lastRow="0" w:firstColumn="1" w:lastColumn="0" w:noHBand="0" w:noVBand="1"/>
      </w:tblPr>
      <w:tblGrid>
        <w:gridCol w:w="3450"/>
        <w:gridCol w:w="994"/>
        <w:gridCol w:w="1726"/>
        <w:gridCol w:w="1726"/>
        <w:gridCol w:w="1726"/>
      </w:tblGrid>
      <w:tr w:rsidR="00155BBB" w:rsidRPr="00155BBB" w14:paraId="04F74D0D" w14:textId="77777777" w:rsidTr="007B2713">
        <w:trPr>
          <w:trHeight w:val="531"/>
        </w:trPr>
        <w:tc>
          <w:tcPr>
            <w:tcW w:w="3450" w:type="dxa"/>
            <w:tcBorders>
              <w:top w:val="single" w:sz="4" w:space="0" w:color="auto"/>
              <w:left w:val="single" w:sz="4" w:space="0" w:color="auto"/>
              <w:bottom w:val="single" w:sz="4" w:space="0" w:color="auto"/>
              <w:right w:val="single" w:sz="4" w:space="0" w:color="auto"/>
            </w:tcBorders>
            <w:shd w:val="clear" w:color="auto" w:fill="auto"/>
          </w:tcPr>
          <w:p w14:paraId="707567E5" w14:textId="77777777" w:rsidR="007C67AB" w:rsidRPr="00155BBB" w:rsidRDefault="007C67AB" w:rsidP="007C67AB">
            <w:pPr>
              <w:rPr>
                <w:rFonts w:cs="Arial"/>
                <w:color w:val="000000" w:themeColor="text1"/>
                <w:sz w:val="20"/>
                <w:szCs w:val="20"/>
                <w:lang w:eastAsia="en-US"/>
              </w:rPr>
            </w:pPr>
            <w:r w:rsidRPr="00155BBB">
              <w:rPr>
                <w:color w:val="000000" w:themeColor="text1"/>
              </w:rPr>
              <w:t>НАИМЕНОВАНИЕ НА РАЗХОДА</w:t>
            </w:r>
          </w:p>
        </w:tc>
        <w:tc>
          <w:tcPr>
            <w:tcW w:w="994" w:type="dxa"/>
            <w:tcBorders>
              <w:top w:val="single" w:sz="4" w:space="0" w:color="auto"/>
              <w:left w:val="nil"/>
              <w:bottom w:val="single" w:sz="4" w:space="0" w:color="auto"/>
              <w:right w:val="single" w:sz="4" w:space="0" w:color="auto"/>
            </w:tcBorders>
            <w:shd w:val="clear" w:color="auto" w:fill="auto"/>
            <w:noWrap/>
          </w:tcPr>
          <w:p w14:paraId="631FBA72" w14:textId="5205B35C" w:rsidR="007C67AB" w:rsidRPr="00155BBB" w:rsidRDefault="007C67AB" w:rsidP="007C67AB">
            <w:pPr>
              <w:jc w:val="center"/>
              <w:rPr>
                <w:rFonts w:cs="Arial"/>
                <w:color w:val="000000" w:themeColor="text1"/>
                <w:sz w:val="20"/>
                <w:szCs w:val="20"/>
                <w:lang w:eastAsia="en-US"/>
              </w:rPr>
            </w:pPr>
            <w:r w:rsidRPr="00155BBB">
              <w:rPr>
                <w:color w:val="000000" w:themeColor="text1"/>
              </w:rPr>
              <w:t>МЯРКА</w:t>
            </w: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6D0D27E3" w14:textId="3FBEB5BA" w:rsidR="007C67AB" w:rsidRPr="00155BBB" w:rsidRDefault="007C67AB" w:rsidP="007C67AB">
            <w:pPr>
              <w:jc w:val="center"/>
              <w:rPr>
                <w:color w:val="000000" w:themeColor="text1"/>
              </w:rPr>
            </w:pPr>
            <w:r w:rsidRPr="00155BBB">
              <w:rPr>
                <w:rFonts w:eastAsia="Times New Roman" w:cs="Arial"/>
                <w:color w:val="000000" w:themeColor="text1"/>
                <w:spacing w:val="0"/>
                <w:sz w:val="20"/>
                <w:szCs w:val="20"/>
                <w:lang w:eastAsia="en-US"/>
              </w:rPr>
              <w:t>Отчет за базовата 2023 г.</w:t>
            </w: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602030D6" w14:textId="05776A01" w:rsidR="007C67AB" w:rsidRPr="00155BBB" w:rsidRDefault="007C67AB" w:rsidP="007C67AB">
            <w:pPr>
              <w:jc w:val="center"/>
              <w:rPr>
                <w:color w:val="000000" w:themeColor="text1"/>
              </w:rPr>
            </w:pPr>
            <w:r w:rsidRPr="00155BBB">
              <w:rPr>
                <w:rFonts w:eastAsia="Times New Roman" w:cs="Arial"/>
                <w:color w:val="000000" w:themeColor="text1"/>
                <w:spacing w:val="0"/>
                <w:sz w:val="20"/>
                <w:szCs w:val="20"/>
                <w:lang w:eastAsia="en-US"/>
              </w:rPr>
              <w:t>Прогноза в цени X</w:t>
            </w:r>
            <w:r w:rsidRPr="00155BBB">
              <w:rPr>
                <w:rFonts w:eastAsia="Times New Roman" w:cs="Arial"/>
                <w:color w:val="000000" w:themeColor="text1"/>
                <w:spacing w:val="0"/>
                <w:sz w:val="20"/>
                <w:szCs w:val="20"/>
                <w:lang w:val="en-US" w:eastAsia="en-US"/>
              </w:rPr>
              <w:t>V</w:t>
            </w:r>
            <w:r w:rsidRPr="00155BBB">
              <w:rPr>
                <w:rFonts w:eastAsia="Times New Roman" w:cs="Arial"/>
                <w:color w:val="000000" w:themeColor="text1"/>
                <w:spacing w:val="0"/>
                <w:sz w:val="20"/>
                <w:szCs w:val="20"/>
                <w:lang w:eastAsia="en-US"/>
              </w:rPr>
              <w:t>-ти РП   01.07.2024 г.</w:t>
            </w:r>
          </w:p>
        </w:tc>
        <w:tc>
          <w:tcPr>
            <w:tcW w:w="1726" w:type="dxa"/>
            <w:tcBorders>
              <w:top w:val="single" w:sz="4" w:space="0" w:color="auto"/>
              <w:left w:val="nil"/>
              <w:bottom w:val="single" w:sz="4" w:space="0" w:color="auto"/>
              <w:right w:val="single" w:sz="4" w:space="0" w:color="auto"/>
            </w:tcBorders>
            <w:shd w:val="clear" w:color="auto" w:fill="auto"/>
            <w:noWrap/>
            <w:vAlign w:val="center"/>
          </w:tcPr>
          <w:p w14:paraId="3608A6E4" w14:textId="654DFBC0" w:rsidR="007C67AB" w:rsidRPr="00155BBB" w:rsidRDefault="007C67AB" w:rsidP="007C67AB">
            <w:pPr>
              <w:jc w:val="center"/>
              <w:rPr>
                <w:color w:val="000000" w:themeColor="text1"/>
              </w:rPr>
            </w:pPr>
            <w:r w:rsidRPr="00155BBB">
              <w:rPr>
                <w:rFonts w:eastAsia="Times New Roman" w:cs="Arial"/>
                <w:color w:val="000000" w:themeColor="text1"/>
                <w:spacing w:val="0"/>
                <w:sz w:val="20"/>
                <w:szCs w:val="20"/>
                <w:lang w:eastAsia="en-US"/>
              </w:rPr>
              <w:t>Разлика          X</w:t>
            </w:r>
            <w:r w:rsidRPr="00155BBB">
              <w:rPr>
                <w:rFonts w:eastAsia="Times New Roman" w:cs="Arial"/>
                <w:color w:val="000000" w:themeColor="text1"/>
                <w:spacing w:val="0"/>
                <w:sz w:val="20"/>
                <w:szCs w:val="20"/>
                <w:lang w:val="en-US" w:eastAsia="en-US"/>
              </w:rPr>
              <w:t>V</w:t>
            </w:r>
            <w:r w:rsidRPr="00155BBB">
              <w:rPr>
                <w:rFonts w:eastAsia="Times New Roman" w:cs="Arial"/>
                <w:color w:val="000000" w:themeColor="text1"/>
                <w:spacing w:val="0"/>
                <w:sz w:val="20"/>
                <w:szCs w:val="20"/>
                <w:lang w:eastAsia="en-US"/>
              </w:rPr>
              <w:t xml:space="preserve"> РП – 2023 г.</w:t>
            </w:r>
          </w:p>
        </w:tc>
      </w:tr>
      <w:tr w:rsidR="003972AA" w:rsidRPr="00155BBB" w14:paraId="42E7BF70" w14:textId="77777777" w:rsidTr="001B3C7B">
        <w:trPr>
          <w:trHeight w:val="531"/>
        </w:trPr>
        <w:tc>
          <w:tcPr>
            <w:tcW w:w="3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3A57F" w14:textId="1811C583" w:rsidR="003972AA" w:rsidRPr="00155BBB" w:rsidRDefault="003972AA" w:rsidP="003972AA">
            <w:pPr>
              <w:rPr>
                <w:rFonts w:cs="Arial"/>
                <w:color w:val="000000" w:themeColor="text1"/>
                <w:sz w:val="20"/>
                <w:szCs w:val="20"/>
                <w:lang w:eastAsia="en-US"/>
              </w:rPr>
            </w:pPr>
            <w:r w:rsidRPr="00155BBB">
              <w:rPr>
                <w:rFonts w:cs="Arial"/>
                <w:color w:val="000000" w:themeColor="text1"/>
                <w:sz w:val="20"/>
                <w:szCs w:val="20"/>
                <w:lang w:eastAsia="en-US"/>
              </w:rPr>
              <w:t>Разходи за природен газ извън график</w:t>
            </w:r>
          </w:p>
        </w:tc>
        <w:tc>
          <w:tcPr>
            <w:tcW w:w="994" w:type="dxa"/>
            <w:tcBorders>
              <w:top w:val="single" w:sz="4" w:space="0" w:color="auto"/>
              <w:left w:val="nil"/>
              <w:bottom w:val="single" w:sz="4" w:space="0" w:color="auto"/>
              <w:right w:val="single" w:sz="4" w:space="0" w:color="auto"/>
            </w:tcBorders>
            <w:shd w:val="clear" w:color="auto" w:fill="auto"/>
            <w:noWrap/>
            <w:vAlign w:val="bottom"/>
            <w:hideMark/>
          </w:tcPr>
          <w:p w14:paraId="0A00AE57" w14:textId="77777777" w:rsidR="003972AA" w:rsidRPr="00155BBB" w:rsidRDefault="003972AA" w:rsidP="003972AA">
            <w:pPr>
              <w:jc w:val="center"/>
              <w:rPr>
                <w:rFonts w:cs="Arial"/>
                <w:color w:val="000000" w:themeColor="text1"/>
                <w:sz w:val="20"/>
                <w:szCs w:val="20"/>
                <w:lang w:eastAsia="en-US"/>
              </w:rPr>
            </w:pPr>
            <w:r w:rsidRPr="00155BBB">
              <w:rPr>
                <w:rFonts w:cs="Arial"/>
                <w:color w:val="000000" w:themeColor="text1"/>
                <w:sz w:val="20"/>
                <w:szCs w:val="20"/>
                <w:lang w:eastAsia="en-US"/>
              </w:rPr>
              <w:t>хил. лв.</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572CF1BB" w14:textId="7C74F2C4" w:rsidR="003972AA" w:rsidRPr="0010510A" w:rsidRDefault="0010510A" w:rsidP="003972AA">
            <w:pPr>
              <w:jc w:val="center"/>
              <w:rPr>
                <w:rFonts w:cs="Arial"/>
                <w:color w:val="000000" w:themeColor="text1"/>
                <w:sz w:val="20"/>
                <w:szCs w:val="20"/>
                <w:lang w:val="en-US" w:eastAsia="en-US"/>
              </w:rPr>
            </w:pPr>
            <w:r>
              <w:rPr>
                <w:rFonts w:cs="Arial"/>
                <w:color w:val="000000" w:themeColor="text1"/>
                <w:sz w:val="20"/>
                <w:szCs w:val="20"/>
                <w:lang w:val="en-US"/>
              </w:rPr>
              <w:t>xx</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724280A0" w14:textId="4552D642" w:rsidR="003972AA" w:rsidRPr="0010510A" w:rsidRDefault="0010510A" w:rsidP="003972AA">
            <w:pPr>
              <w:jc w:val="center"/>
              <w:rPr>
                <w:rFonts w:cs="Arial"/>
                <w:color w:val="000000" w:themeColor="text1"/>
                <w:sz w:val="20"/>
                <w:szCs w:val="20"/>
                <w:lang w:val="en-US" w:eastAsia="en-US"/>
              </w:rPr>
            </w:pPr>
            <w:r>
              <w:rPr>
                <w:rFonts w:cs="Arial"/>
                <w:color w:val="000000" w:themeColor="text1"/>
                <w:sz w:val="20"/>
                <w:szCs w:val="20"/>
                <w:lang w:val="en-US"/>
              </w:rPr>
              <w:t>xx</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7C4D7754" w14:textId="7BECC51D" w:rsidR="003972AA" w:rsidRPr="0010510A" w:rsidRDefault="0010510A" w:rsidP="003972AA">
            <w:pPr>
              <w:jc w:val="center"/>
              <w:rPr>
                <w:rFonts w:cs="Arial"/>
                <w:color w:val="000000" w:themeColor="text1"/>
                <w:sz w:val="20"/>
                <w:szCs w:val="20"/>
                <w:lang w:val="en-US" w:eastAsia="en-US"/>
              </w:rPr>
            </w:pPr>
            <w:r>
              <w:rPr>
                <w:rFonts w:cs="Arial"/>
                <w:color w:val="000000" w:themeColor="text1"/>
                <w:sz w:val="20"/>
                <w:szCs w:val="20"/>
                <w:lang w:val="en-US"/>
              </w:rPr>
              <w:t>-xx</w:t>
            </w:r>
          </w:p>
        </w:tc>
      </w:tr>
      <w:bookmarkEnd w:id="22"/>
    </w:tbl>
    <w:p w14:paraId="1E7B04D7" w14:textId="77777777" w:rsidR="007E2B55" w:rsidRPr="00155BBB" w:rsidRDefault="007E2B55" w:rsidP="00EE7AF8">
      <w:pPr>
        <w:ind w:left="709"/>
        <w:rPr>
          <w:color w:val="000000" w:themeColor="text1"/>
        </w:rPr>
      </w:pPr>
    </w:p>
    <w:p w14:paraId="08C11B80" w14:textId="52DC675C" w:rsidR="00EE7AF8" w:rsidRPr="00155BBB" w:rsidRDefault="00EE7AF8" w:rsidP="00EE7AF8">
      <w:pPr>
        <w:spacing w:line="240" w:lineRule="exact"/>
        <w:jc w:val="both"/>
        <w:rPr>
          <w:rFonts w:cs="Arial"/>
          <w:color w:val="000000" w:themeColor="text1"/>
          <w:sz w:val="20"/>
          <w:szCs w:val="20"/>
        </w:rPr>
      </w:pPr>
    </w:p>
    <w:p w14:paraId="6C760EC8" w14:textId="0822111C" w:rsidR="00A908E8" w:rsidRPr="00155BBB" w:rsidRDefault="00A908E8" w:rsidP="00EE7AF8">
      <w:pPr>
        <w:spacing w:line="240" w:lineRule="exact"/>
        <w:jc w:val="both"/>
        <w:rPr>
          <w:rFonts w:cs="Arial"/>
          <w:color w:val="000000" w:themeColor="text1"/>
          <w:sz w:val="20"/>
          <w:szCs w:val="20"/>
        </w:rPr>
      </w:pPr>
    </w:p>
    <w:p w14:paraId="59145E6E" w14:textId="77777777" w:rsidR="00155BBB" w:rsidRPr="0024207D" w:rsidRDefault="00155BBB" w:rsidP="00155BBB">
      <w:pPr>
        <w:tabs>
          <w:tab w:val="left" w:pos="1134"/>
        </w:tabs>
        <w:ind w:left="709"/>
        <w:rPr>
          <w:color w:val="000000" w:themeColor="text1"/>
        </w:rPr>
      </w:pPr>
      <w:r w:rsidRPr="0057086A">
        <w:rPr>
          <w:b/>
        </w:rPr>
        <w:t>Бележка:</w:t>
      </w:r>
      <w:r w:rsidRPr="0057086A">
        <w:t xml:space="preserve"> Съгласно указанията на КВЕР, поради добавените редове за “Разходи за балансиране по правила за търговия с ЕЕ”, „Разходи за природен газ извън график“</w:t>
      </w:r>
      <w:r>
        <w:t xml:space="preserve"> </w:t>
      </w:r>
      <w:r w:rsidRPr="0057086A">
        <w:t>в Справка 1 “Разходи” към променливите разходи от модела за ценообразуване, се наложи да бъде променена формулата в клетка “F 109” в Справка 4 “ ТИП-ПРОИЗ” от модела за ценообразуване. Формулата е така променена, че “Разходи за балансиране по правила за търговия с ЕЕ” (клетка “</w:t>
      </w:r>
      <w:r w:rsidRPr="0057086A">
        <w:rPr>
          <w:lang w:val="en-US"/>
        </w:rPr>
        <w:t>I</w:t>
      </w:r>
      <w:r w:rsidRPr="0057086A">
        <w:t xml:space="preserve">99” в справка 1 “Разходи”) и да </w:t>
      </w:r>
      <w:r w:rsidRPr="0024207D">
        <w:rPr>
          <w:color w:val="000000" w:themeColor="text1"/>
        </w:rPr>
        <w:t>бъде ценообразуващ елемент само в цената на ел. енергия, защото според нас тези разходи се отнасят пряко към производството и продажба на ел. енергия.</w:t>
      </w:r>
      <w:r w:rsidRPr="0024207D">
        <w:rPr>
          <w:color w:val="000000" w:themeColor="text1"/>
          <w:lang w:val="en-US"/>
        </w:rPr>
        <w:t xml:space="preserve"> </w:t>
      </w:r>
    </w:p>
    <w:p w14:paraId="7D77944C" w14:textId="77777777" w:rsidR="00155BBB" w:rsidRPr="0024207D" w:rsidRDefault="00155BBB" w:rsidP="00155BBB">
      <w:pPr>
        <w:ind w:left="709"/>
        <w:rPr>
          <w:color w:val="000000" w:themeColor="text1"/>
        </w:rPr>
      </w:pPr>
      <w:r w:rsidRPr="0024207D">
        <w:rPr>
          <w:color w:val="000000" w:themeColor="text1"/>
        </w:rPr>
        <w:t xml:space="preserve">Поради промяната в закона за енергетика през 2015 г. (промяна на периода за отчитане на ефективността от годишна на месечна база), дружеството ще произвежда и продава през новия регулаторен период освен високоефективна комбинирана електрическа енергия на преференциална </w:t>
      </w:r>
      <w:r w:rsidRPr="0024207D">
        <w:rPr>
          <w:color w:val="000000" w:themeColor="text1"/>
        </w:rPr>
        <w:lastRenderedPageBreak/>
        <w:t>цена, съответно и невисокоефективна комбинирана електрическа енергия на пазарни цени. Във връзка с това се наложи да бъде променена формулата в клетка “F 110” в Справка 4 “ ТИП-ПРОИЗ” от модела за ценообразуване. Запазена е логиката на ценообразуване на модела на КЕВР, преференциалната цената да бъде калкулирана за количествата произведена високоефективна комбинирана електрическа енергия.</w:t>
      </w:r>
    </w:p>
    <w:p w14:paraId="6F812EDA" w14:textId="3E05803D" w:rsidR="00155BBB" w:rsidRPr="0024207D" w:rsidRDefault="00155BBB" w:rsidP="00155BBB">
      <w:pPr>
        <w:ind w:left="709"/>
        <w:rPr>
          <w:color w:val="000000" w:themeColor="text1"/>
        </w:rPr>
      </w:pPr>
      <w:r w:rsidRPr="0024207D">
        <w:rPr>
          <w:color w:val="000000" w:themeColor="text1"/>
        </w:rPr>
        <w:t xml:space="preserve">Прогнозната пазарна цена на електрическа енергия в размер на </w:t>
      </w:r>
      <w:proofErr w:type="spellStart"/>
      <w:r w:rsidR="006C467A">
        <w:rPr>
          <w:color w:val="000000" w:themeColor="text1"/>
          <w:lang w:val="en-US"/>
        </w:rPr>
        <w:t>xxx,xx</w:t>
      </w:r>
      <w:proofErr w:type="spellEnd"/>
      <w:r w:rsidRPr="0024207D">
        <w:rPr>
          <w:color w:val="000000" w:themeColor="text1"/>
          <w:lang w:val="en-US"/>
        </w:rPr>
        <w:t xml:space="preserve"> </w:t>
      </w:r>
      <w:r w:rsidRPr="0024207D">
        <w:rPr>
          <w:color w:val="000000" w:themeColor="text1"/>
        </w:rPr>
        <w:t xml:space="preserve"> BGN/MWh определена на база на налични котировки от EEХ за фючърси за България към ден на търговия 15.03.2024. е вписана в клетки F119 в Справка 4 “ ТИП-ПРОИЗ” като цена за комбинирана електрическа енергия съгласно глава трета, раздел I </w:t>
      </w:r>
      <w:proofErr w:type="spellStart"/>
      <w:r w:rsidRPr="0024207D">
        <w:rPr>
          <w:color w:val="000000" w:themeColor="text1"/>
        </w:rPr>
        <w:t>т.Б</w:t>
      </w:r>
      <w:proofErr w:type="spellEnd"/>
      <w:r w:rsidRPr="0024207D">
        <w:rPr>
          <w:color w:val="000000" w:themeColor="text1"/>
        </w:rPr>
        <w:t xml:space="preserve"> чл. 19 от Указания-НВ и F120 в Справка 4 “ ТИП-ПРОИЗ” като цена за некомбинирана електрическа енергия съгласно глава трета, раздел I </w:t>
      </w:r>
      <w:proofErr w:type="spellStart"/>
      <w:r w:rsidRPr="0024207D">
        <w:rPr>
          <w:color w:val="000000" w:themeColor="text1"/>
        </w:rPr>
        <w:t>т.Б</w:t>
      </w:r>
      <w:proofErr w:type="spellEnd"/>
      <w:r w:rsidRPr="0024207D">
        <w:rPr>
          <w:color w:val="000000" w:themeColor="text1"/>
        </w:rPr>
        <w:t xml:space="preserve"> чл. 20 от Указания-НВ</w:t>
      </w:r>
    </w:p>
    <w:p w14:paraId="49EF5C27" w14:textId="77777777" w:rsidR="00155BBB" w:rsidRPr="0057086A" w:rsidRDefault="00155BBB" w:rsidP="00155BBB">
      <w:pPr>
        <w:ind w:left="709"/>
      </w:pPr>
    </w:p>
    <w:p w14:paraId="7EAF20DA" w14:textId="77777777" w:rsidR="00155BBB" w:rsidRPr="0057086A" w:rsidRDefault="00155BBB" w:rsidP="00155BBB"/>
    <w:p w14:paraId="1F8C3F7C" w14:textId="77777777" w:rsidR="00155BBB" w:rsidRPr="0057086A" w:rsidRDefault="00155BBB" w:rsidP="00155BBB">
      <w:pPr>
        <w:pStyle w:val="Heading1"/>
        <w:keepLines w:val="0"/>
        <w:numPr>
          <w:ilvl w:val="0"/>
          <w:numId w:val="12"/>
        </w:numPr>
        <w:tabs>
          <w:tab w:val="clear" w:pos="369"/>
        </w:tabs>
        <w:spacing w:before="240" w:after="60" w:line="240" w:lineRule="auto"/>
      </w:pPr>
      <w:r w:rsidRPr="0057086A">
        <w:t>Калкулация на необходими приходи</w:t>
      </w:r>
    </w:p>
    <w:p w14:paraId="626C4E4A" w14:textId="77777777" w:rsidR="00155BBB" w:rsidRPr="0057086A" w:rsidRDefault="00155BBB" w:rsidP="00155BBB">
      <w:pPr>
        <w:rPr>
          <w:color w:val="000000" w:themeColor="text1"/>
        </w:rPr>
      </w:pPr>
    </w:p>
    <w:p w14:paraId="70044957" w14:textId="77777777" w:rsidR="00155BBB" w:rsidRPr="0057086A" w:rsidRDefault="00155BBB" w:rsidP="00155BBB">
      <w:pPr>
        <w:pStyle w:val="ListParagraph"/>
        <w:rPr>
          <w:rFonts w:ascii="Frutiger Next for EVN Light" w:hAnsi="Frutiger Next for EVN Light"/>
          <w:color w:val="000000" w:themeColor="text1"/>
          <w:lang w:val="bg-BG"/>
        </w:rPr>
      </w:pPr>
      <w:r w:rsidRPr="0057086A">
        <w:rPr>
          <w:rFonts w:ascii="Frutiger Next for EVN Light" w:hAnsi="Frutiger Next for EVN Light"/>
          <w:color w:val="000000" w:themeColor="text1"/>
          <w:lang w:val="bg-BG"/>
        </w:rPr>
        <w:t>Съгласно чл.7 от Наредба 5, необходимите годишни приходи за дейност разпределение трябва да включват признатите от комисията икономически обосновани разходи и възвръщаемост на капитала, изчислени по следната формула:</w:t>
      </w:r>
    </w:p>
    <w:p w14:paraId="6F7E945A" w14:textId="77777777" w:rsidR="00155BBB" w:rsidRPr="0057086A" w:rsidRDefault="00155BBB" w:rsidP="00155BBB">
      <w:pPr>
        <w:ind w:left="709"/>
        <w:rPr>
          <w:color w:val="000000" w:themeColor="text1"/>
        </w:rPr>
      </w:pPr>
      <w:r w:rsidRPr="0057086A">
        <w:rPr>
          <w:color w:val="000000" w:themeColor="text1"/>
        </w:rPr>
        <w:t xml:space="preserve">НП = Р + (РБА * НВ), </w:t>
      </w:r>
    </w:p>
    <w:p w14:paraId="660E2360" w14:textId="77777777" w:rsidR="00155BBB" w:rsidRPr="0057086A" w:rsidRDefault="00155BBB" w:rsidP="00155BBB">
      <w:pPr>
        <w:ind w:left="709"/>
        <w:rPr>
          <w:color w:val="000000" w:themeColor="text1"/>
        </w:rPr>
      </w:pPr>
      <w:r w:rsidRPr="0057086A">
        <w:rPr>
          <w:color w:val="000000" w:themeColor="text1"/>
        </w:rPr>
        <w:t>Където:</w:t>
      </w:r>
    </w:p>
    <w:p w14:paraId="476FFC41" w14:textId="77777777" w:rsidR="00155BBB" w:rsidRPr="0057086A" w:rsidRDefault="00155BBB" w:rsidP="00155BBB">
      <w:pPr>
        <w:ind w:left="709"/>
        <w:rPr>
          <w:color w:val="000000" w:themeColor="text1"/>
        </w:rPr>
      </w:pPr>
      <w:r w:rsidRPr="0057086A">
        <w:rPr>
          <w:color w:val="000000" w:themeColor="text1"/>
        </w:rPr>
        <w:t>НП са необходимите годишни приходи;</w:t>
      </w:r>
    </w:p>
    <w:p w14:paraId="2E2D3669" w14:textId="77777777" w:rsidR="00155BBB" w:rsidRPr="0057086A" w:rsidRDefault="00155BBB" w:rsidP="00155BBB">
      <w:pPr>
        <w:ind w:left="709"/>
        <w:rPr>
          <w:color w:val="000000" w:themeColor="text1"/>
        </w:rPr>
      </w:pPr>
      <w:r w:rsidRPr="0057086A">
        <w:rPr>
          <w:color w:val="000000" w:themeColor="text1"/>
        </w:rPr>
        <w:t>Р- годишните разходи за дейността по лицензията представляващи сума от условно-постоянните и променливите разходи ;</w:t>
      </w:r>
    </w:p>
    <w:p w14:paraId="178D2A19" w14:textId="77777777" w:rsidR="00155BBB" w:rsidRPr="0057086A" w:rsidRDefault="00155BBB" w:rsidP="00155BBB">
      <w:pPr>
        <w:ind w:left="709"/>
        <w:rPr>
          <w:color w:val="000000" w:themeColor="text1"/>
        </w:rPr>
      </w:pPr>
      <w:r w:rsidRPr="0057086A">
        <w:rPr>
          <w:color w:val="000000" w:themeColor="text1"/>
        </w:rPr>
        <w:t>РБА -</w:t>
      </w:r>
      <w:r w:rsidRPr="0057086A">
        <w:t xml:space="preserve"> </w:t>
      </w:r>
      <w:r w:rsidRPr="0057086A">
        <w:rPr>
          <w:color w:val="000000" w:themeColor="text1"/>
        </w:rPr>
        <w:t xml:space="preserve">регулаторна база на активите </w:t>
      </w:r>
    </w:p>
    <w:p w14:paraId="1D94AD4B" w14:textId="77777777" w:rsidR="00155BBB" w:rsidRPr="0057086A" w:rsidRDefault="00155BBB" w:rsidP="00155BBB">
      <w:pPr>
        <w:ind w:left="709"/>
        <w:rPr>
          <w:color w:val="000000" w:themeColor="text1"/>
        </w:rPr>
      </w:pPr>
      <w:r w:rsidRPr="0057086A">
        <w:rPr>
          <w:color w:val="000000" w:themeColor="text1"/>
        </w:rPr>
        <w:t>НВ- норма на възвръщаемост, калкулирана на база на WACC</w:t>
      </w:r>
    </w:p>
    <w:p w14:paraId="6BC8D02A" w14:textId="77777777" w:rsidR="00155BBB" w:rsidRPr="0057086A" w:rsidRDefault="00155BBB" w:rsidP="00155BBB">
      <w:pPr>
        <w:ind w:left="709"/>
        <w:rPr>
          <w:color w:val="000000" w:themeColor="text1"/>
        </w:rPr>
      </w:pPr>
    </w:p>
    <w:p w14:paraId="11E6C4C3" w14:textId="40A808B6" w:rsidR="00155BBB" w:rsidRPr="0057086A" w:rsidRDefault="00155BBB" w:rsidP="00155BBB">
      <w:pPr>
        <w:ind w:left="709"/>
      </w:pPr>
      <w:r w:rsidRPr="0057086A">
        <w:t xml:space="preserve">НП =  </w:t>
      </w:r>
      <w:r w:rsidR="0010510A">
        <w:rPr>
          <w:rFonts w:cs="Arial"/>
          <w:lang w:val="en-US"/>
        </w:rPr>
        <w:t>xx xxx</w:t>
      </w:r>
      <w:r w:rsidR="00646464">
        <w:rPr>
          <w:rFonts w:cs="Arial"/>
        </w:rPr>
        <w:t xml:space="preserve"> </w:t>
      </w:r>
      <w:r w:rsidRPr="0057086A">
        <w:t xml:space="preserve">+ </w:t>
      </w:r>
      <w:r w:rsidR="0010510A">
        <w:rPr>
          <w:lang w:val="en-US"/>
        </w:rPr>
        <w:t>xx xxx</w:t>
      </w:r>
      <w:r w:rsidRPr="0057086A">
        <w:t>+ (</w:t>
      </w:r>
      <w:r w:rsidR="0010510A">
        <w:rPr>
          <w:lang w:val="en-US"/>
        </w:rPr>
        <w:t>xxx</w:t>
      </w:r>
      <w:r w:rsidR="00646464" w:rsidRPr="00646464">
        <w:rPr>
          <w:lang w:val="en-US"/>
        </w:rPr>
        <w:t xml:space="preserve"> </w:t>
      </w:r>
      <w:proofErr w:type="spellStart"/>
      <w:r w:rsidR="0010510A">
        <w:rPr>
          <w:lang w:val="en-US"/>
        </w:rPr>
        <w:t>xxx</w:t>
      </w:r>
      <w:proofErr w:type="spellEnd"/>
      <w:r w:rsidRPr="0057086A">
        <w:t>*</w:t>
      </w:r>
      <w:r w:rsidR="0010510A">
        <w:rPr>
          <w:lang w:val="en-US"/>
        </w:rPr>
        <w:t>x</w:t>
      </w:r>
      <w:r w:rsidR="00646464">
        <w:t>,</w:t>
      </w:r>
      <w:r w:rsidR="0010510A">
        <w:rPr>
          <w:lang w:val="en-US"/>
        </w:rPr>
        <w:t>xx</w:t>
      </w:r>
      <w:r w:rsidRPr="0057086A">
        <w:t xml:space="preserve">%) = </w:t>
      </w:r>
      <w:r w:rsidR="0010510A">
        <w:rPr>
          <w:lang w:val="en-US"/>
        </w:rPr>
        <w:t>xxx</w:t>
      </w:r>
      <w:r w:rsidRPr="0057086A">
        <w:rPr>
          <w:lang w:val="en-US"/>
        </w:rPr>
        <w:t xml:space="preserve"> </w:t>
      </w:r>
      <w:proofErr w:type="spellStart"/>
      <w:r w:rsidR="0010510A">
        <w:rPr>
          <w:lang w:val="en-US"/>
        </w:rPr>
        <w:t>xxx</w:t>
      </w:r>
      <w:proofErr w:type="spellEnd"/>
      <w:r w:rsidRPr="0057086A">
        <w:t xml:space="preserve"> хил. лв.</w:t>
      </w:r>
    </w:p>
    <w:p w14:paraId="1DF71BCB" w14:textId="77777777" w:rsidR="00A908E8" w:rsidRPr="00155BBB" w:rsidRDefault="00A908E8" w:rsidP="00EE7AF8">
      <w:pPr>
        <w:spacing w:line="240" w:lineRule="exact"/>
        <w:jc w:val="both"/>
        <w:rPr>
          <w:rFonts w:cs="Arial"/>
          <w:color w:val="000000" w:themeColor="text1"/>
          <w:sz w:val="20"/>
          <w:szCs w:val="20"/>
        </w:rPr>
      </w:pPr>
    </w:p>
    <w:p w14:paraId="4D3DE182" w14:textId="2C8FA8B9" w:rsidR="003565E4" w:rsidRPr="006044EF" w:rsidRDefault="003565E4" w:rsidP="006044EF">
      <w:pPr>
        <w:pStyle w:val="Heading1"/>
        <w:keepLines w:val="0"/>
        <w:numPr>
          <w:ilvl w:val="0"/>
          <w:numId w:val="12"/>
        </w:numPr>
        <w:tabs>
          <w:tab w:val="clear" w:pos="369"/>
        </w:tabs>
        <w:spacing w:before="240" w:after="60" w:line="240" w:lineRule="auto"/>
      </w:pPr>
      <w:r w:rsidRPr="006044EF">
        <w:t xml:space="preserve">Корекции </w:t>
      </w:r>
      <w:bookmarkStart w:id="23" w:name="_Hlk162273645"/>
      <w:bookmarkStart w:id="24" w:name="_Hlk162273584"/>
      <w:r w:rsidRPr="006044EF">
        <w:t xml:space="preserve">съгласно </w:t>
      </w:r>
      <w:r w:rsidR="005C2C3A" w:rsidRPr="006044EF">
        <w:t>чл. 24а, ал.1 от НРЦЕЕ и чл. 8, ал.10 от НР</w:t>
      </w:r>
      <w:bookmarkEnd w:id="23"/>
      <w:r w:rsidR="005C2C3A" w:rsidRPr="006044EF">
        <w:t>ЦТЕ</w:t>
      </w:r>
    </w:p>
    <w:bookmarkEnd w:id="24"/>
    <w:p w14:paraId="5A010ACC" w14:textId="77777777" w:rsidR="003565E4" w:rsidRPr="00155BBB" w:rsidRDefault="003565E4" w:rsidP="003565E4">
      <w:pPr>
        <w:ind w:left="709"/>
        <w:jc w:val="both"/>
        <w:rPr>
          <w:color w:val="000000" w:themeColor="text1"/>
        </w:rPr>
      </w:pPr>
    </w:p>
    <w:p w14:paraId="75081464" w14:textId="77777777" w:rsidR="003565E4" w:rsidRPr="00155BBB" w:rsidRDefault="003565E4" w:rsidP="003565E4">
      <w:pPr>
        <w:ind w:left="709"/>
        <w:rPr>
          <w:color w:val="000000" w:themeColor="text1"/>
        </w:rPr>
      </w:pPr>
      <w:r w:rsidRPr="00155BBB">
        <w:rPr>
          <w:color w:val="000000" w:themeColor="text1"/>
        </w:rPr>
        <w:t xml:space="preserve">В съответствие с чл. 8, ал. 10 от Наредба № 5 от 23.01.2014 г. и след установена разлика от предходния ценови период между прогнозните и отчетените разходи, формиращи разходите за основно гориво - природен газ и разходите за квоти за въглеродни емисии, Дружеството е калкулирало корекция на необходимите приходи съгласно формулата </w:t>
      </w:r>
    </w:p>
    <w:p w14:paraId="520329D4" w14:textId="77777777" w:rsidR="003565E4" w:rsidRPr="00155BBB" w:rsidRDefault="003565E4" w:rsidP="003565E4">
      <w:pPr>
        <w:ind w:left="709"/>
        <w:rPr>
          <w:color w:val="000000" w:themeColor="text1"/>
        </w:rPr>
      </w:pPr>
      <w:proofErr w:type="spellStart"/>
      <w:r w:rsidRPr="00155BBB">
        <w:rPr>
          <w:color w:val="000000" w:themeColor="text1"/>
        </w:rPr>
        <w:t>Нt</w:t>
      </w:r>
      <w:proofErr w:type="spellEnd"/>
      <w:r w:rsidRPr="00155BBB">
        <w:rPr>
          <w:color w:val="000000" w:themeColor="text1"/>
        </w:rPr>
        <w:t xml:space="preserve"> = </w:t>
      </w:r>
      <w:proofErr w:type="spellStart"/>
      <w:r w:rsidRPr="00155BBB">
        <w:rPr>
          <w:color w:val="000000" w:themeColor="text1"/>
        </w:rPr>
        <w:t>Qg</w:t>
      </w:r>
      <w:proofErr w:type="spellEnd"/>
      <w:r w:rsidRPr="00155BBB">
        <w:rPr>
          <w:color w:val="000000" w:themeColor="text1"/>
        </w:rPr>
        <w:t xml:space="preserve"> * (</w:t>
      </w:r>
      <w:proofErr w:type="spellStart"/>
      <w:r w:rsidRPr="00155BBB">
        <w:rPr>
          <w:color w:val="000000" w:themeColor="text1"/>
        </w:rPr>
        <w:t>Цпг</w:t>
      </w:r>
      <w:proofErr w:type="spellEnd"/>
      <w:r w:rsidRPr="00155BBB">
        <w:rPr>
          <w:color w:val="000000" w:themeColor="text1"/>
        </w:rPr>
        <w:t xml:space="preserve"> – ЦI)t + </w:t>
      </w:r>
      <w:proofErr w:type="spellStart"/>
      <w:r w:rsidRPr="00155BBB">
        <w:rPr>
          <w:color w:val="000000" w:themeColor="text1"/>
        </w:rPr>
        <w:t>Qe</w:t>
      </w:r>
      <w:proofErr w:type="spellEnd"/>
      <w:r w:rsidRPr="00155BBB">
        <w:rPr>
          <w:color w:val="000000" w:themeColor="text1"/>
        </w:rPr>
        <w:t>*(</w:t>
      </w:r>
      <w:proofErr w:type="spellStart"/>
      <w:r w:rsidRPr="00155BBB">
        <w:rPr>
          <w:color w:val="000000" w:themeColor="text1"/>
        </w:rPr>
        <w:t>Цпе</w:t>
      </w:r>
      <w:proofErr w:type="spellEnd"/>
      <w:r w:rsidRPr="00155BBB">
        <w:rPr>
          <w:color w:val="000000" w:themeColor="text1"/>
        </w:rPr>
        <w:t xml:space="preserve"> – ЦII)t ± Pt-1, където:</w:t>
      </w:r>
    </w:p>
    <w:p w14:paraId="5E687A43" w14:textId="77777777" w:rsidR="003565E4" w:rsidRPr="00155BBB" w:rsidRDefault="003565E4" w:rsidP="003565E4">
      <w:pPr>
        <w:ind w:left="709"/>
        <w:rPr>
          <w:color w:val="000000" w:themeColor="text1"/>
          <w:lang w:val="en-US"/>
        </w:rPr>
      </w:pPr>
    </w:p>
    <w:p w14:paraId="69274AC8" w14:textId="77777777" w:rsidR="003565E4" w:rsidRPr="00155BBB" w:rsidRDefault="003565E4" w:rsidP="003565E4">
      <w:pPr>
        <w:ind w:left="709"/>
        <w:rPr>
          <w:color w:val="000000" w:themeColor="text1"/>
        </w:rPr>
      </w:pPr>
      <w:r w:rsidRPr="00155BBB">
        <w:rPr>
          <w:color w:val="000000" w:themeColor="text1"/>
        </w:rPr>
        <w:t xml:space="preserve"> </w:t>
      </w:r>
      <w:proofErr w:type="spellStart"/>
      <w:r w:rsidRPr="00155BBB">
        <w:rPr>
          <w:color w:val="000000" w:themeColor="text1"/>
        </w:rPr>
        <w:t>Ht</w:t>
      </w:r>
      <w:proofErr w:type="spellEnd"/>
      <w:r w:rsidRPr="00155BBB">
        <w:rPr>
          <w:color w:val="000000" w:themeColor="text1"/>
        </w:rPr>
        <w:t xml:space="preserve"> е размер на разликата от предходния регулаторен/ценови период, лв.;</w:t>
      </w:r>
    </w:p>
    <w:p w14:paraId="236CD0D2" w14:textId="77777777" w:rsidR="003565E4" w:rsidRPr="00155BBB" w:rsidRDefault="003565E4" w:rsidP="003565E4">
      <w:pPr>
        <w:ind w:left="709"/>
        <w:rPr>
          <w:color w:val="000000" w:themeColor="text1"/>
        </w:rPr>
      </w:pPr>
      <w:r w:rsidRPr="00155BBB">
        <w:rPr>
          <w:color w:val="000000" w:themeColor="text1"/>
        </w:rPr>
        <w:t xml:space="preserve"> </w:t>
      </w:r>
      <w:proofErr w:type="spellStart"/>
      <w:r w:rsidRPr="00155BBB">
        <w:rPr>
          <w:color w:val="000000" w:themeColor="text1"/>
        </w:rPr>
        <w:t>Qg</w:t>
      </w:r>
      <w:proofErr w:type="spellEnd"/>
      <w:r w:rsidRPr="00155BBB">
        <w:rPr>
          <w:color w:val="000000" w:themeColor="text1"/>
        </w:rPr>
        <w:t xml:space="preserve"> – отчетено количество природен газ за ценовия период, MWh;</w:t>
      </w:r>
    </w:p>
    <w:p w14:paraId="2093CCED" w14:textId="77777777" w:rsidR="003565E4" w:rsidRPr="00155BBB" w:rsidRDefault="003565E4" w:rsidP="003565E4">
      <w:pPr>
        <w:ind w:left="709"/>
        <w:rPr>
          <w:color w:val="000000" w:themeColor="text1"/>
        </w:rPr>
      </w:pPr>
      <w:r w:rsidRPr="00155BBB">
        <w:rPr>
          <w:color w:val="000000" w:themeColor="text1"/>
        </w:rPr>
        <w:t xml:space="preserve"> </w:t>
      </w:r>
      <w:proofErr w:type="spellStart"/>
      <w:r w:rsidRPr="00155BBB">
        <w:rPr>
          <w:color w:val="000000" w:themeColor="text1"/>
        </w:rPr>
        <w:t>Цпг</w:t>
      </w:r>
      <w:proofErr w:type="spellEnd"/>
      <w:r w:rsidRPr="00155BBB">
        <w:rPr>
          <w:color w:val="000000" w:themeColor="text1"/>
        </w:rPr>
        <w:t xml:space="preserve"> – индивидуална прогнозна цена на природния газ за регулаторния/ценовия период, изчислена по реда на ал. 8, т. 2, лв./MWh;</w:t>
      </w:r>
    </w:p>
    <w:p w14:paraId="61296242" w14:textId="77777777" w:rsidR="003565E4" w:rsidRPr="00155BBB" w:rsidRDefault="003565E4" w:rsidP="003565E4">
      <w:pPr>
        <w:ind w:left="709"/>
        <w:rPr>
          <w:color w:val="000000" w:themeColor="text1"/>
        </w:rPr>
      </w:pPr>
      <w:r w:rsidRPr="00155BBB">
        <w:rPr>
          <w:color w:val="000000" w:themeColor="text1"/>
        </w:rPr>
        <w:t xml:space="preserve"> ЦI – отчетена индивидуална цена на природния газ за регулаторния/ценовия период, изчислена въз основа на отчетените </w:t>
      </w:r>
      <w:proofErr w:type="spellStart"/>
      <w:r w:rsidRPr="00155BBB">
        <w:rPr>
          <w:color w:val="000000" w:themeColor="text1"/>
        </w:rPr>
        <w:t>помесечни</w:t>
      </w:r>
      <w:proofErr w:type="spellEnd"/>
      <w:r w:rsidRPr="00155BBB">
        <w:rPr>
          <w:color w:val="000000" w:themeColor="text1"/>
        </w:rPr>
        <w:t xml:space="preserve"> количества потребен природен газ и постигнатата помесечна цена, като среднопретеглена стойност, към която се добавят отчетените цени за достъп и пренос през газопреносната, съответно газоразпределителната мрежа, лв./ MWh;</w:t>
      </w:r>
    </w:p>
    <w:p w14:paraId="0BAB66BB" w14:textId="77777777" w:rsidR="003565E4" w:rsidRPr="00155BBB" w:rsidRDefault="003565E4" w:rsidP="003565E4">
      <w:pPr>
        <w:ind w:left="709"/>
        <w:rPr>
          <w:color w:val="000000" w:themeColor="text1"/>
        </w:rPr>
      </w:pPr>
      <w:r w:rsidRPr="00155BBB">
        <w:rPr>
          <w:color w:val="000000" w:themeColor="text1"/>
        </w:rPr>
        <w:t xml:space="preserve"> </w:t>
      </w:r>
      <w:proofErr w:type="spellStart"/>
      <w:r w:rsidRPr="00155BBB">
        <w:rPr>
          <w:color w:val="000000" w:themeColor="text1"/>
        </w:rPr>
        <w:t>Qe</w:t>
      </w:r>
      <w:proofErr w:type="spellEnd"/>
      <w:r w:rsidRPr="00155BBB">
        <w:rPr>
          <w:color w:val="000000" w:themeColor="text1"/>
        </w:rPr>
        <w:t xml:space="preserve"> – отчетено количество въглеродни емисии за регулаторния период, тон;</w:t>
      </w:r>
    </w:p>
    <w:p w14:paraId="4990C4DD" w14:textId="77777777" w:rsidR="003565E4" w:rsidRPr="00155BBB" w:rsidRDefault="003565E4" w:rsidP="003565E4">
      <w:pPr>
        <w:ind w:left="709"/>
        <w:rPr>
          <w:color w:val="000000" w:themeColor="text1"/>
        </w:rPr>
      </w:pPr>
      <w:r w:rsidRPr="00155BBB">
        <w:rPr>
          <w:color w:val="000000" w:themeColor="text1"/>
        </w:rPr>
        <w:t xml:space="preserve"> </w:t>
      </w:r>
      <w:proofErr w:type="spellStart"/>
      <w:r w:rsidRPr="00155BBB">
        <w:rPr>
          <w:color w:val="000000" w:themeColor="text1"/>
        </w:rPr>
        <w:t>Цпе</w:t>
      </w:r>
      <w:proofErr w:type="spellEnd"/>
      <w:r w:rsidRPr="00155BBB">
        <w:rPr>
          <w:color w:val="000000" w:themeColor="text1"/>
        </w:rPr>
        <w:t xml:space="preserve"> – прогнозна цена на въглеродните емисии, лв./тон;</w:t>
      </w:r>
    </w:p>
    <w:p w14:paraId="51DD1D36" w14:textId="77777777" w:rsidR="003565E4" w:rsidRPr="00155BBB" w:rsidRDefault="003565E4" w:rsidP="003565E4">
      <w:pPr>
        <w:ind w:left="709"/>
        <w:rPr>
          <w:color w:val="000000" w:themeColor="text1"/>
        </w:rPr>
      </w:pPr>
      <w:r w:rsidRPr="00155BBB">
        <w:rPr>
          <w:color w:val="000000" w:themeColor="text1"/>
        </w:rPr>
        <w:t xml:space="preserve"> ЦII – отчетена средна цена на въглеродните емисии на проведените първични търгове на Европейската енергийна борса за регулаторния период, лв./тон;</w:t>
      </w:r>
    </w:p>
    <w:p w14:paraId="2AB69309" w14:textId="77777777" w:rsidR="003565E4" w:rsidRPr="00155BBB" w:rsidRDefault="003565E4" w:rsidP="003565E4">
      <w:pPr>
        <w:ind w:left="709"/>
        <w:rPr>
          <w:color w:val="000000" w:themeColor="text1"/>
        </w:rPr>
      </w:pPr>
      <w:r w:rsidRPr="00155BBB">
        <w:rPr>
          <w:color w:val="000000" w:themeColor="text1"/>
        </w:rPr>
        <w:t xml:space="preserve"> Р – разлика между прогнозните и отчетните разходи, формиращи разходите за основно гориво – природен газ, и разходите за квоти за въглеродни емисии, в резултат на прогнозни количества и разходи, използвани за определяне на Ht-1, лв.;</w:t>
      </w:r>
    </w:p>
    <w:p w14:paraId="393381C2" w14:textId="79AAE835" w:rsidR="003565E4" w:rsidRPr="00155BBB" w:rsidRDefault="003565E4" w:rsidP="003565E4">
      <w:pPr>
        <w:ind w:left="709"/>
        <w:rPr>
          <w:color w:val="000000" w:themeColor="text1"/>
        </w:rPr>
      </w:pPr>
      <w:r w:rsidRPr="00155BBB">
        <w:rPr>
          <w:color w:val="000000" w:themeColor="text1"/>
        </w:rPr>
        <w:t xml:space="preserve"> t – ценовият период.</w:t>
      </w:r>
    </w:p>
    <w:p w14:paraId="0805BFE1" w14:textId="109EC383" w:rsidR="003565E4" w:rsidRPr="00155BBB" w:rsidRDefault="003565E4" w:rsidP="004F1221">
      <w:pPr>
        <w:rPr>
          <w:color w:val="000000" w:themeColor="text1"/>
        </w:rPr>
      </w:pPr>
    </w:p>
    <w:p w14:paraId="2D6EE81E" w14:textId="0FBD37BB" w:rsidR="00B27CF0" w:rsidRPr="00155BBB" w:rsidRDefault="00B27CF0" w:rsidP="00B27CF0">
      <w:pPr>
        <w:pStyle w:val="ListParagraph"/>
        <w:numPr>
          <w:ilvl w:val="0"/>
          <w:numId w:val="32"/>
        </w:numPr>
        <w:rPr>
          <w:rFonts w:ascii="Frutiger Next for EVN Light" w:hAnsi="Frutiger Next for EVN Light"/>
          <w:color w:val="000000" w:themeColor="text1"/>
          <w:sz w:val="19"/>
          <w:szCs w:val="19"/>
          <w:lang w:val="en-US"/>
        </w:rPr>
      </w:pPr>
      <w:r w:rsidRPr="00155BBB">
        <w:rPr>
          <w:rFonts w:ascii="Frutiger Next for EVN Light" w:hAnsi="Frutiger Next for EVN Light"/>
          <w:color w:val="000000" w:themeColor="text1"/>
          <w:sz w:val="19"/>
          <w:szCs w:val="19"/>
          <w:lang w:val="bg-BG"/>
        </w:rPr>
        <w:t>Корекция на разходи за природен газ за периода 01.07.202</w:t>
      </w:r>
      <w:r w:rsidR="00322FF5" w:rsidRPr="00155BBB">
        <w:rPr>
          <w:rFonts w:ascii="Frutiger Next for EVN Light" w:hAnsi="Frutiger Next for EVN Light"/>
          <w:color w:val="000000" w:themeColor="text1"/>
          <w:sz w:val="19"/>
          <w:szCs w:val="19"/>
          <w:lang w:val="en-US"/>
        </w:rPr>
        <w:t>3</w:t>
      </w:r>
      <w:r w:rsidRPr="00155BBB">
        <w:rPr>
          <w:rFonts w:ascii="Frutiger Next for EVN Light" w:hAnsi="Frutiger Next for EVN Light"/>
          <w:color w:val="000000" w:themeColor="text1"/>
          <w:sz w:val="19"/>
          <w:szCs w:val="19"/>
          <w:lang w:val="bg-BG"/>
        </w:rPr>
        <w:t>-30.06.202</w:t>
      </w:r>
      <w:r w:rsidR="00322FF5" w:rsidRPr="00155BBB">
        <w:rPr>
          <w:rFonts w:ascii="Frutiger Next for EVN Light" w:hAnsi="Frutiger Next for EVN Light"/>
          <w:color w:val="000000" w:themeColor="text1"/>
          <w:sz w:val="19"/>
          <w:szCs w:val="19"/>
          <w:lang w:val="en-US"/>
        </w:rPr>
        <w:t>4</w:t>
      </w:r>
    </w:p>
    <w:p w14:paraId="50A036C8" w14:textId="06734B1A" w:rsidR="00B27CF0" w:rsidRPr="00155BBB" w:rsidRDefault="00B27CF0" w:rsidP="00B27CF0">
      <w:pPr>
        <w:pStyle w:val="ListParagraph"/>
        <w:ind w:left="1069"/>
        <w:rPr>
          <w:rFonts w:ascii="Frutiger Next for EVN Light" w:hAnsi="Frutiger Next for EVN Light"/>
          <w:color w:val="000000" w:themeColor="text1"/>
          <w:lang w:val="en-US"/>
        </w:rPr>
      </w:pPr>
    </w:p>
    <w:p w14:paraId="5F9ECA64" w14:textId="2B916A95" w:rsidR="003565E4" w:rsidRPr="00155BBB" w:rsidRDefault="003565E4" w:rsidP="003565E4">
      <w:pPr>
        <w:ind w:left="709"/>
        <w:rPr>
          <w:color w:val="000000" w:themeColor="text1"/>
          <w:lang w:val="en-US"/>
        </w:rPr>
      </w:pPr>
      <w:proofErr w:type="spellStart"/>
      <w:r w:rsidRPr="00155BBB">
        <w:rPr>
          <w:color w:val="000000" w:themeColor="text1"/>
        </w:rPr>
        <w:t>Qg</w:t>
      </w:r>
      <w:proofErr w:type="spellEnd"/>
      <w:r w:rsidRPr="00155BBB">
        <w:rPr>
          <w:color w:val="000000" w:themeColor="text1"/>
        </w:rPr>
        <w:t xml:space="preserve"> – </w:t>
      </w:r>
      <w:r w:rsidR="0010510A">
        <w:rPr>
          <w:color w:val="000000" w:themeColor="text1"/>
          <w:lang w:val="en-US"/>
        </w:rPr>
        <w:t xml:space="preserve">xxx </w:t>
      </w:r>
      <w:proofErr w:type="spellStart"/>
      <w:r w:rsidR="0010510A">
        <w:rPr>
          <w:color w:val="000000" w:themeColor="text1"/>
          <w:lang w:val="en-US"/>
        </w:rPr>
        <w:t>xxx</w:t>
      </w:r>
      <w:proofErr w:type="spellEnd"/>
      <w:r w:rsidRPr="00155BBB">
        <w:rPr>
          <w:color w:val="000000" w:themeColor="text1"/>
        </w:rPr>
        <w:t xml:space="preserve"> MWh – отчетеното количество природен газ е формирано на база отчет за периода 01.07.202</w:t>
      </w:r>
      <w:r w:rsidR="00126A16" w:rsidRPr="00155BBB">
        <w:rPr>
          <w:color w:val="000000" w:themeColor="text1"/>
          <w:lang w:val="en-US"/>
        </w:rPr>
        <w:t>3</w:t>
      </w:r>
      <w:r w:rsidRPr="00155BBB">
        <w:rPr>
          <w:color w:val="000000" w:themeColor="text1"/>
        </w:rPr>
        <w:t xml:space="preserve"> – 2</w:t>
      </w:r>
      <w:r w:rsidR="00126A16" w:rsidRPr="00155BBB">
        <w:rPr>
          <w:color w:val="000000" w:themeColor="text1"/>
          <w:lang w:val="en-US"/>
        </w:rPr>
        <w:t>9</w:t>
      </w:r>
      <w:r w:rsidRPr="00155BBB">
        <w:rPr>
          <w:color w:val="000000" w:themeColor="text1"/>
        </w:rPr>
        <w:t>.02.202</w:t>
      </w:r>
      <w:r w:rsidR="00126A16" w:rsidRPr="00155BBB">
        <w:rPr>
          <w:color w:val="000000" w:themeColor="text1"/>
          <w:lang w:val="en-US"/>
        </w:rPr>
        <w:t>4</w:t>
      </w:r>
      <w:r w:rsidRPr="00155BBB">
        <w:rPr>
          <w:color w:val="000000" w:themeColor="text1"/>
        </w:rPr>
        <w:t xml:space="preserve"> и прогноза за периода 01.03.202</w:t>
      </w:r>
      <w:r w:rsidR="00126A16" w:rsidRPr="00155BBB">
        <w:rPr>
          <w:color w:val="000000" w:themeColor="text1"/>
          <w:lang w:val="en-US"/>
        </w:rPr>
        <w:t>4</w:t>
      </w:r>
      <w:r w:rsidRPr="00155BBB">
        <w:rPr>
          <w:color w:val="000000" w:themeColor="text1"/>
        </w:rPr>
        <w:t>-30.06.202</w:t>
      </w:r>
      <w:r w:rsidR="00126A16" w:rsidRPr="00155BBB">
        <w:rPr>
          <w:color w:val="000000" w:themeColor="text1"/>
          <w:lang w:val="en-US"/>
        </w:rPr>
        <w:t>4</w:t>
      </w:r>
    </w:p>
    <w:p w14:paraId="69C74C3F" w14:textId="71F2A15C" w:rsidR="003565E4" w:rsidRPr="00155BBB" w:rsidRDefault="003565E4" w:rsidP="003565E4">
      <w:pPr>
        <w:ind w:left="709"/>
        <w:rPr>
          <w:color w:val="000000" w:themeColor="text1"/>
        </w:rPr>
      </w:pPr>
      <w:proofErr w:type="spellStart"/>
      <w:r w:rsidRPr="00155BBB">
        <w:rPr>
          <w:color w:val="000000" w:themeColor="text1"/>
        </w:rPr>
        <w:t>Цпг</w:t>
      </w:r>
      <w:proofErr w:type="spellEnd"/>
      <w:r w:rsidRPr="00155BBB">
        <w:rPr>
          <w:color w:val="000000" w:themeColor="text1"/>
        </w:rPr>
        <w:t xml:space="preserve"> – </w:t>
      </w:r>
      <w:proofErr w:type="spellStart"/>
      <w:r w:rsidR="0010510A">
        <w:rPr>
          <w:color w:val="000000" w:themeColor="text1"/>
          <w:lang w:val="en-US"/>
        </w:rPr>
        <w:t>xx</w:t>
      </w:r>
      <w:r w:rsidR="00126A16" w:rsidRPr="00155BBB">
        <w:rPr>
          <w:color w:val="000000" w:themeColor="text1"/>
          <w:lang w:val="en-US"/>
        </w:rPr>
        <w:t>.</w:t>
      </w:r>
      <w:r w:rsidR="0010510A">
        <w:rPr>
          <w:color w:val="000000" w:themeColor="text1"/>
          <w:lang w:val="en-US"/>
        </w:rPr>
        <w:t>x</w:t>
      </w:r>
      <w:proofErr w:type="spellEnd"/>
      <w:r w:rsidRPr="00155BBB">
        <w:rPr>
          <w:color w:val="000000" w:themeColor="text1"/>
        </w:rPr>
        <w:t xml:space="preserve"> лв./MWh - индивидуална прогнозна цена на природния газ за ценовия период e изчислена по реда на ал. 8, т. 2, като към изчислената годишна индивидуална прогнозна цена на природния газ за ценовия период въз основа на прогнозните цени на природния газ по т. 1 и индивидуалното потребление по тримесечия </w:t>
      </w:r>
    </w:p>
    <w:p w14:paraId="1DC4F8A3" w14:textId="1B733885" w:rsidR="003565E4" w:rsidRPr="00155BBB" w:rsidRDefault="003565E4" w:rsidP="003565E4">
      <w:pPr>
        <w:ind w:left="709"/>
        <w:rPr>
          <w:color w:val="000000" w:themeColor="text1"/>
        </w:rPr>
      </w:pPr>
      <w:r w:rsidRPr="00155BBB">
        <w:rPr>
          <w:color w:val="000000" w:themeColor="text1"/>
        </w:rPr>
        <w:t xml:space="preserve">ЦI – </w:t>
      </w:r>
      <w:proofErr w:type="spellStart"/>
      <w:r w:rsidR="0010510A">
        <w:rPr>
          <w:color w:val="000000" w:themeColor="text1"/>
          <w:lang w:val="en-US"/>
        </w:rPr>
        <w:t>xx</w:t>
      </w:r>
      <w:r w:rsidR="00126A16" w:rsidRPr="00155BBB">
        <w:rPr>
          <w:color w:val="000000" w:themeColor="text1"/>
          <w:lang w:val="en-US"/>
        </w:rPr>
        <w:t>.</w:t>
      </w:r>
      <w:r w:rsidR="0010510A">
        <w:rPr>
          <w:color w:val="000000" w:themeColor="text1"/>
          <w:lang w:val="en-US"/>
        </w:rPr>
        <w:t>xx</w:t>
      </w:r>
      <w:proofErr w:type="spellEnd"/>
      <w:r w:rsidRPr="00155BBB">
        <w:rPr>
          <w:color w:val="000000" w:themeColor="text1"/>
        </w:rPr>
        <w:t xml:space="preserve"> лв./MWh – изчислена е въз основа на отчетените </w:t>
      </w:r>
      <w:proofErr w:type="spellStart"/>
      <w:r w:rsidRPr="00155BBB">
        <w:rPr>
          <w:color w:val="000000" w:themeColor="text1"/>
        </w:rPr>
        <w:t>помесечни</w:t>
      </w:r>
      <w:proofErr w:type="spellEnd"/>
      <w:r w:rsidRPr="00155BBB">
        <w:rPr>
          <w:color w:val="000000" w:themeColor="text1"/>
        </w:rPr>
        <w:t xml:space="preserve"> количества потребен природен газ и постигнатата помесечна цена, </w:t>
      </w:r>
      <w:r w:rsidR="0014780D" w:rsidRPr="00155BBB">
        <w:rPr>
          <w:color w:val="000000" w:themeColor="text1"/>
        </w:rPr>
        <w:t>като среднопретеглена стойност,</w:t>
      </w:r>
      <w:r w:rsidRPr="00155BBB">
        <w:rPr>
          <w:color w:val="000000" w:themeColor="text1"/>
        </w:rPr>
        <w:t xml:space="preserve"> като са спазени изискванията на чл. 8, ал. 11 от НРЦТЕ в случай, че постигнатата помесечна цена на природния газ е по-ниска от утвърдената от комисията цена за съответния месец, по която общественият доставчик продава природния газ на лице, на което е издадена лицензия за производство и пренос на топлинна енергия (</w:t>
      </w:r>
      <w:proofErr w:type="spellStart"/>
      <w:r w:rsidRPr="00155BBB">
        <w:rPr>
          <w:color w:val="000000" w:themeColor="text1"/>
        </w:rPr>
        <w:t>Цбг</w:t>
      </w:r>
      <w:proofErr w:type="spellEnd"/>
      <w:r w:rsidRPr="00155BBB">
        <w:rPr>
          <w:color w:val="000000" w:themeColor="text1"/>
        </w:rPr>
        <w:t>), за изчисляването на годишната индивидуална цена за регулаторния/ценовия период се използва цена (</w:t>
      </w:r>
      <w:proofErr w:type="spellStart"/>
      <w:r w:rsidRPr="00155BBB">
        <w:rPr>
          <w:color w:val="000000" w:themeColor="text1"/>
        </w:rPr>
        <w:t>ЦпI</w:t>
      </w:r>
      <w:proofErr w:type="spellEnd"/>
      <w:r w:rsidRPr="00155BBB">
        <w:rPr>
          <w:color w:val="000000" w:themeColor="text1"/>
        </w:rPr>
        <w:t>), изчислена по формула:</w:t>
      </w:r>
    </w:p>
    <w:p w14:paraId="29FA9DD7" w14:textId="32801582" w:rsidR="003565E4" w:rsidRPr="00155BBB" w:rsidRDefault="003565E4" w:rsidP="00F1036A">
      <w:pPr>
        <w:ind w:left="709"/>
        <w:rPr>
          <w:color w:val="000000" w:themeColor="text1"/>
        </w:rPr>
      </w:pPr>
      <w:r w:rsidRPr="00155BBB">
        <w:rPr>
          <w:color w:val="000000" w:themeColor="text1"/>
        </w:rPr>
        <w:t xml:space="preserve"> </w:t>
      </w:r>
      <w:proofErr w:type="spellStart"/>
      <w:r w:rsidRPr="00155BBB">
        <w:rPr>
          <w:color w:val="000000" w:themeColor="text1"/>
        </w:rPr>
        <w:t>ЦпI</w:t>
      </w:r>
      <w:proofErr w:type="spellEnd"/>
      <w:r w:rsidRPr="00155BBB">
        <w:rPr>
          <w:color w:val="000000" w:themeColor="text1"/>
        </w:rPr>
        <w:t xml:space="preserve"> = 0,5*(</w:t>
      </w:r>
      <w:proofErr w:type="spellStart"/>
      <w:r w:rsidRPr="00155BBB">
        <w:rPr>
          <w:color w:val="000000" w:themeColor="text1"/>
        </w:rPr>
        <w:t>Цбг</w:t>
      </w:r>
      <w:proofErr w:type="spellEnd"/>
      <w:r w:rsidRPr="00155BBB">
        <w:rPr>
          <w:color w:val="000000" w:themeColor="text1"/>
        </w:rPr>
        <w:t xml:space="preserve"> + </w:t>
      </w:r>
      <w:proofErr w:type="spellStart"/>
      <w:r w:rsidRPr="00155BBB">
        <w:rPr>
          <w:color w:val="000000" w:themeColor="text1"/>
        </w:rPr>
        <w:t>Цп</w:t>
      </w:r>
      <w:proofErr w:type="spellEnd"/>
      <w:r w:rsidRPr="00155BBB">
        <w:rPr>
          <w:color w:val="000000" w:themeColor="text1"/>
        </w:rPr>
        <w:t>).</w:t>
      </w:r>
    </w:p>
    <w:p w14:paraId="38405E1D" w14:textId="7C4AE20B" w:rsidR="00126A16" w:rsidRDefault="0010510A" w:rsidP="00F1036A">
      <w:pPr>
        <w:ind w:left="709"/>
      </w:pPr>
      <w:r w:rsidRPr="0010510A">
        <w:drawing>
          <wp:anchor distT="0" distB="0" distL="114300" distR="114300" simplePos="0" relativeHeight="251718656" behindDoc="0" locked="0" layoutInCell="1" allowOverlap="1" wp14:anchorId="26D44072" wp14:editId="3EE03141">
            <wp:simplePos x="0" y="0"/>
            <wp:positionH relativeFrom="column">
              <wp:posOffset>175260</wp:posOffset>
            </wp:positionH>
            <wp:positionV relativeFrom="paragraph">
              <wp:posOffset>243840</wp:posOffset>
            </wp:positionV>
            <wp:extent cx="6120130" cy="3828415"/>
            <wp:effectExtent l="0" t="0" r="0" b="635"/>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130" cy="3828415"/>
                    </a:xfrm>
                    <a:prstGeom prst="rect">
                      <a:avLst/>
                    </a:prstGeom>
                    <a:noFill/>
                    <a:ln>
                      <a:noFill/>
                    </a:ln>
                  </pic:spPr>
                </pic:pic>
              </a:graphicData>
            </a:graphic>
          </wp:anchor>
        </w:drawing>
      </w:r>
    </w:p>
    <w:p w14:paraId="0015022D" w14:textId="77777777" w:rsidR="0010510A" w:rsidRPr="0057086A" w:rsidRDefault="0010510A" w:rsidP="0010510A"/>
    <w:p w14:paraId="3B5C0DAE" w14:textId="072F5329" w:rsidR="003565E4" w:rsidRPr="0057086A" w:rsidRDefault="003565E4" w:rsidP="00B27CF0"/>
    <w:p w14:paraId="56351AA4" w14:textId="43538850" w:rsidR="00C672BE" w:rsidRPr="00155BBB" w:rsidRDefault="00C672BE" w:rsidP="00B27CF0">
      <w:pPr>
        <w:rPr>
          <w:color w:val="000000" w:themeColor="text1"/>
        </w:rPr>
      </w:pPr>
      <w:r w:rsidRPr="00155BBB">
        <w:rPr>
          <w:color w:val="000000" w:themeColor="text1"/>
        </w:rPr>
        <w:t>На база предоставените по-горе данни следва да се начисли корекция по природен газа за периода 01.07.202</w:t>
      </w:r>
      <w:r w:rsidR="00126A16" w:rsidRPr="00155BBB">
        <w:rPr>
          <w:color w:val="000000" w:themeColor="text1"/>
          <w:lang w:val="en-US"/>
        </w:rPr>
        <w:t>3</w:t>
      </w:r>
      <w:r w:rsidRPr="00155BBB">
        <w:rPr>
          <w:color w:val="000000" w:themeColor="text1"/>
        </w:rPr>
        <w:t>-30.06.202</w:t>
      </w:r>
      <w:r w:rsidR="00126A16" w:rsidRPr="00155BBB">
        <w:rPr>
          <w:color w:val="000000" w:themeColor="text1"/>
          <w:lang w:val="en-US"/>
        </w:rPr>
        <w:t>4</w:t>
      </w:r>
      <w:r w:rsidRPr="00155BBB">
        <w:rPr>
          <w:color w:val="000000" w:themeColor="text1"/>
        </w:rPr>
        <w:t xml:space="preserve"> в размер на  </w:t>
      </w:r>
      <w:r w:rsidR="0010510A">
        <w:rPr>
          <w:color w:val="000000" w:themeColor="text1"/>
          <w:lang w:val="en-US"/>
        </w:rPr>
        <w:t>xx xxx</w:t>
      </w:r>
      <w:r w:rsidR="00EA7652" w:rsidRPr="00155BBB">
        <w:rPr>
          <w:color w:val="000000" w:themeColor="text1"/>
        </w:rPr>
        <w:t xml:space="preserve"> </w:t>
      </w:r>
      <w:r w:rsidRPr="00155BBB">
        <w:rPr>
          <w:color w:val="000000" w:themeColor="text1"/>
        </w:rPr>
        <w:t>хил. лв.</w:t>
      </w:r>
    </w:p>
    <w:p w14:paraId="52E8BB2E" w14:textId="4C1B529A" w:rsidR="009F7209" w:rsidRPr="0057086A" w:rsidRDefault="009F7209" w:rsidP="00B27CF0"/>
    <w:p w14:paraId="78896A2B" w14:textId="6A8E49BD" w:rsidR="00B27CF0" w:rsidRPr="0057086A" w:rsidRDefault="00B27CF0" w:rsidP="00B27CF0">
      <w:pPr>
        <w:pStyle w:val="ListParagraph"/>
        <w:numPr>
          <w:ilvl w:val="0"/>
          <w:numId w:val="32"/>
        </w:numPr>
        <w:rPr>
          <w:rFonts w:ascii="Frutiger Next for EVN Light" w:hAnsi="Frutiger Next for EVN Light"/>
          <w:sz w:val="19"/>
          <w:szCs w:val="19"/>
          <w:lang w:val="en-US"/>
        </w:rPr>
      </w:pPr>
      <w:r w:rsidRPr="0057086A">
        <w:rPr>
          <w:rFonts w:ascii="Frutiger Next for EVN Light" w:hAnsi="Frutiger Next for EVN Light"/>
          <w:sz w:val="19"/>
          <w:szCs w:val="19"/>
          <w:lang w:val="bg-BG"/>
        </w:rPr>
        <w:t>Корекция на разходи за квоти за въглеродни емисии за периода 01.07.202</w:t>
      </w:r>
      <w:r w:rsidR="004F085C">
        <w:rPr>
          <w:rFonts w:ascii="Frutiger Next for EVN Light" w:hAnsi="Frutiger Next for EVN Light"/>
          <w:sz w:val="19"/>
          <w:szCs w:val="19"/>
          <w:lang w:val="bg-BG"/>
        </w:rPr>
        <w:t>3</w:t>
      </w:r>
      <w:r w:rsidRPr="0057086A">
        <w:rPr>
          <w:rFonts w:ascii="Frutiger Next for EVN Light" w:hAnsi="Frutiger Next for EVN Light"/>
          <w:sz w:val="19"/>
          <w:szCs w:val="19"/>
          <w:lang w:val="bg-BG"/>
        </w:rPr>
        <w:t>-30.06.202</w:t>
      </w:r>
      <w:r w:rsidR="004F085C">
        <w:rPr>
          <w:rFonts w:ascii="Frutiger Next for EVN Light" w:hAnsi="Frutiger Next for EVN Light"/>
          <w:sz w:val="19"/>
          <w:szCs w:val="19"/>
          <w:lang w:val="bg-BG"/>
        </w:rPr>
        <w:t>4</w:t>
      </w:r>
    </w:p>
    <w:p w14:paraId="0A0A2F83" w14:textId="77777777" w:rsidR="00B27CF0" w:rsidRPr="0057086A" w:rsidRDefault="00B27CF0" w:rsidP="00B27CF0">
      <w:pPr>
        <w:pStyle w:val="ListParagraph"/>
        <w:ind w:left="1069"/>
        <w:rPr>
          <w:rFonts w:ascii="Frutiger Next for EVN Light" w:hAnsi="Frutiger Next for EVN Light"/>
          <w:lang w:val="en-US"/>
        </w:rPr>
      </w:pPr>
    </w:p>
    <w:p w14:paraId="141C9CE7" w14:textId="721A1A74" w:rsidR="009D4411" w:rsidRPr="0057086A" w:rsidRDefault="009D4411" w:rsidP="009D4411">
      <w:pPr>
        <w:ind w:left="709"/>
      </w:pPr>
      <w:proofErr w:type="spellStart"/>
      <w:r w:rsidRPr="0057086A">
        <w:t>Qe</w:t>
      </w:r>
      <w:proofErr w:type="spellEnd"/>
      <w:r w:rsidRPr="0057086A">
        <w:t xml:space="preserve"> – </w:t>
      </w:r>
      <w:r w:rsidR="0010510A">
        <w:rPr>
          <w:lang w:val="en-US"/>
        </w:rPr>
        <w:t xml:space="preserve">xxx </w:t>
      </w:r>
      <w:proofErr w:type="spellStart"/>
      <w:r w:rsidR="0010510A">
        <w:rPr>
          <w:lang w:val="en-US"/>
        </w:rPr>
        <w:t>xxx,xx</w:t>
      </w:r>
      <w:proofErr w:type="spellEnd"/>
      <w:r w:rsidRPr="0057086A">
        <w:rPr>
          <w:lang w:val="en-US"/>
        </w:rPr>
        <w:t xml:space="preserve"> </w:t>
      </w:r>
      <w:r w:rsidRPr="0057086A">
        <w:t xml:space="preserve">t </w:t>
      </w:r>
    </w:p>
    <w:p w14:paraId="28BC09E9" w14:textId="671041C4" w:rsidR="009D4411" w:rsidRPr="0057086A" w:rsidRDefault="009D4411" w:rsidP="009D4411">
      <w:pPr>
        <w:ind w:left="709"/>
      </w:pPr>
      <w:bookmarkStart w:id="25" w:name="_Hlk129761698"/>
      <w:r w:rsidRPr="0057086A">
        <w:t>Отчетеното количество отделени емисии (</w:t>
      </w:r>
      <w:proofErr w:type="spellStart"/>
      <w:r w:rsidRPr="0057086A">
        <w:t>Qe</w:t>
      </w:r>
      <w:proofErr w:type="spellEnd"/>
      <w:r w:rsidRPr="0057086A">
        <w:t>) в размер на</w:t>
      </w:r>
      <w:r w:rsidRPr="0057086A">
        <w:rPr>
          <w:color w:val="00B050"/>
        </w:rPr>
        <w:t xml:space="preserve"> </w:t>
      </w:r>
      <w:r w:rsidR="0010510A">
        <w:rPr>
          <w:lang w:val="en-US"/>
        </w:rPr>
        <w:t xml:space="preserve">xxx </w:t>
      </w:r>
      <w:proofErr w:type="spellStart"/>
      <w:r w:rsidR="0010510A">
        <w:rPr>
          <w:lang w:val="en-US"/>
        </w:rPr>
        <w:t>xxx,xx</w:t>
      </w:r>
      <w:proofErr w:type="spellEnd"/>
      <w:r w:rsidRPr="0057086A">
        <w:t xml:space="preserve"> t са изчислени по методиката за изчисляване на годишни емисии, съгласно формуляра за докладване по чл. 6, ал. 1 от </w:t>
      </w:r>
      <w:r w:rsidRPr="0057086A">
        <w:rPr>
          <w:i/>
        </w:rPr>
        <w:t xml:space="preserve">Наредба за условията, реда и начина за изготвяне на докладите и за верификация на докладите на </w:t>
      </w:r>
      <w:r w:rsidRPr="00896BB6">
        <w:rPr>
          <w:i/>
          <w:color w:val="000000" w:themeColor="text1"/>
        </w:rPr>
        <w:t>операторите на инсталации и на авиационните оператори и за изготвяне и проверка на заявления на нови участници</w:t>
      </w:r>
      <w:r w:rsidRPr="00896BB6">
        <w:rPr>
          <w:color w:val="000000" w:themeColor="text1"/>
        </w:rPr>
        <w:t xml:space="preserve"> (ДВ, бр. 75 от 2014 г.), като са приложени актуалните стойности за 202</w:t>
      </w:r>
      <w:r w:rsidR="00C1672B" w:rsidRPr="00896BB6">
        <w:rPr>
          <w:color w:val="000000" w:themeColor="text1"/>
          <w:lang w:val="en-US"/>
        </w:rPr>
        <w:t>3</w:t>
      </w:r>
      <w:r w:rsidRPr="00896BB6">
        <w:rPr>
          <w:color w:val="000000" w:themeColor="text1"/>
        </w:rPr>
        <w:t xml:space="preserve"> г. на: емисионен фактор (</w:t>
      </w:r>
      <w:r w:rsidRPr="00896BB6">
        <w:rPr>
          <w:color w:val="000000" w:themeColor="text1"/>
          <w:lang w:val="en-US"/>
        </w:rPr>
        <w:t>EF)</w:t>
      </w:r>
      <w:r w:rsidRPr="00896BB6">
        <w:rPr>
          <w:color w:val="000000" w:themeColor="text1"/>
        </w:rPr>
        <w:t>, долна топлина на изгаряне</w:t>
      </w:r>
      <w:r w:rsidRPr="00896BB6">
        <w:rPr>
          <w:color w:val="000000" w:themeColor="text1"/>
          <w:lang w:val="en-US"/>
        </w:rPr>
        <w:t xml:space="preserve"> (NCV)</w:t>
      </w:r>
      <w:r w:rsidRPr="00896BB6">
        <w:rPr>
          <w:color w:val="000000" w:themeColor="text1"/>
        </w:rPr>
        <w:t xml:space="preserve"> и коефициент на окисление, </w:t>
      </w:r>
      <w:r w:rsidRPr="0057086A">
        <w:t xml:space="preserve">публикуваните на интернет страницата на Изпълнителна агенция по околна среда ( </w:t>
      </w:r>
      <w:hyperlink r:id="rId33" w:history="1">
        <w:r w:rsidRPr="0057086A">
          <w:rPr>
            <w:rStyle w:val="Hyperlink"/>
          </w:rPr>
          <w:t>http://eea.government.bg/bg/r-r/r-te/vazhno10/view</w:t>
        </w:r>
      </w:hyperlink>
      <w:r w:rsidRPr="0057086A">
        <w:t xml:space="preserve"> ). Тези параметри, за периода обхващащ 202</w:t>
      </w:r>
      <w:r w:rsidR="00C1672B">
        <w:rPr>
          <w:lang w:val="en-US"/>
        </w:rPr>
        <w:t>3</w:t>
      </w:r>
      <w:r w:rsidRPr="0057086A">
        <w:t xml:space="preserve"> година подлежат на корекция след изтичането му. </w:t>
      </w:r>
    </w:p>
    <w:p w14:paraId="50D4E7C4" w14:textId="77777777" w:rsidR="009D4411" w:rsidRPr="0057086A" w:rsidRDefault="009D4411" w:rsidP="009D4411">
      <w:pPr>
        <w:ind w:left="709"/>
      </w:pPr>
      <w:r w:rsidRPr="0057086A">
        <w:t>Количеството изразходвано гориво се определя на база на търговски измервания, които включват и горивото, използвано за поддръжка на водогрейните котли на двете площадки на ЕВН ТР в горещ резерв в периодите когато водогрейните котли не са в работа.</w:t>
      </w:r>
    </w:p>
    <w:bookmarkEnd w:id="25"/>
    <w:p w14:paraId="12CC25EB" w14:textId="77777777" w:rsidR="009D4411" w:rsidRPr="0057086A" w:rsidRDefault="009D4411" w:rsidP="009D4411">
      <w:pPr>
        <w:ind w:left="709"/>
      </w:pPr>
    </w:p>
    <w:tbl>
      <w:tblPr>
        <w:tblW w:w="9400" w:type="dxa"/>
        <w:tblCellMar>
          <w:left w:w="70" w:type="dxa"/>
          <w:right w:w="70" w:type="dxa"/>
        </w:tblCellMar>
        <w:tblLook w:val="04A0" w:firstRow="1" w:lastRow="0" w:firstColumn="1" w:lastColumn="0" w:noHBand="0" w:noVBand="1"/>
      </w:tblPr>
      <w:tblGrid>
        <w:gridCol w:w="4580"/>
        <w:gridCol w:w="640"/>
        <w:gridCol w:w="1580"/>
        <w:gridCol w:w="1400"/>
        <w:gridCol w:w="1200"/>
      </w:tblGrid>
      <w:tr w:rsidR="009D4411" w:rsidRPr="0057086A" w14:paraId="61C9412E" w14:textId="77777777" w:rsidTr="001B3C7B">
        <w:trPr>
          <w:trHeight w:val="270"/>
        </w:trPr>
        <w:tc>
          <w:tcPr>
            <w:tcW w:w="4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7686F"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E4FC7"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мярка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75CE2"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Площадка Север</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1330E7"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Площадка Юг</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7EFDA"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Общо за ТР</w:t>
            </w:r>
          </w:p>
        </w:tc>
      </w:tr>
      <w:tr w:rsidR="009D4411" w:rsidRPr="0057086A" w14:paraId="7D0D4B6F" w14:textId="77777777" w:rsidTr="001B3C7B">
        <w:trPr>
          <w:trHeight w:val="285"/>
        </w:trPr>
        <w:tc>
          <w:tcPr>
            <w:tcW w:w="4580" w:type="dxa"/>
            <w:tcBorders>
              <w:top w:val="nil"/>
              <w:left w:val="single" w:sz="8" w:space="0" w:color="auto"/>
              <w:bottom w:val="single" w:sz="4" w:space="0" w:color="auto"/>
              <w:right w:val="nil"/>
            </w:tcBorders>
            <w:shd w:val="clear" w:color="auto" w:fill="auto"/>
            <w:noWrap/>
            <w:vAlign w:val="bottom"/>
            <w:hideMark/>
          </w:tcPr>
          <w:p w14:paraId="00D66A64" w14:textId="233CE707" w:rsidR="009D4411" w:rsidRPr="0057086A" w:rsidRDefault="009D4411" w:rsidP="001B3C7B">
            <w:pPr>
              <w:spacing w:line="240" w:lineRule="auto"/>
              <w:rPr>
                <w:rFonts w:eastAsia="Times New Roman" w:cs="Arial"/>
                <w:color w:val="000000"/>
                <w:spacing w:val="0"/>
                <w:lang w:val="en-US" w:eastAsia="bg-BG"/>
              </w:rPr>
            </w:pPr>
            <w:r w:rsidRPr="0057086A">
              <w:rPr>
                <w:rFonts w:eastAsia="Times New Roman" w:cs="Arial"/>
                <w:color w:val="000000"/>
                <w:spacing w:val="0"/>
                <w:lang w:eastAsia="bg-BG"/>
              </w:rPr>
              <w:t>Емитирани за 2-во пол. 202</w:t>
            </w:r>
            <w:r w:rsidR="00C1672B">
              <w:rPr>
                <w:rFonts w:eastAsia="Times New Roman" w:cs="Arial"/>
                <w:color w:val="000000"/>
                <w:spacing w:val="0"/>
                <w:lang w:val="en-US" w:eastAsia="bg-BG"/>
              </w:rPr>
              <w:t>3</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C284A" w14:textId="77777777" w:rsidR="009D4411" w:rsidRPr="0057086A" w:rsidRDefault="009D4411" w:rsidP="001B3C7B">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19626DF0" w14:textId="778582FD" w:rsidR="009D4411" w:rsidRPr="00C1672B" w:rsidRDefault="00FA729F" w:rsidP="001B3C7B">
            <w:pPr>
              <w:spacing w:line="240" w:lineRule="auto"/>
              <w:jc w:val="right"/>
              <w:rPr>
                <w:rFonts w:eastAsia="Times New Roman" w:cs="Arial"/>
                <w:color w:val="000000"/>
                <w:spacing w:val="0"/>
                <w:lang w:val="en-US" w:eastAsia="bg-BG"/>
              </w:rPr>
            </w:pPr>
            <w:r>
              <w:rPr>
                <w:rFonts w:cs="Arial"/>
                <w:color w:val="000000"/>
                <w:lang w:val="en-US"/>
              </w:rPr>
              <w:t>xx xxx</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702040F7" w14:textId="07F38CB0" w:rsidR="009D4411" w:rsidRPr="00C1672B" w:rsidRDefault="00FA729F" w:rsidP="001B3C7B">
            <w:pPr>
              <w:spacing w:line="240" w:lineRule="auto"/>
              <w:jc w:val="right"/>
              <w:rPr>
                <w:rFonts w:eastAsia="Times New Roman" w:cs="Arial"/>
                <w:color w:val="000000"/>
                <w:spacing w:val="0"/>
                <w:lang w:val="en-US" w:eastAsia="bg-BG"/>
              </w:rPr>
            </w:pPr>
            <w:r>
              <w:rPr>
                <w:rFonts w:cs="Arial"/>
                <w:color w:val="000000"/>
                <w:lang w:val="en-US"/>
              </w:rPr>
              <w:t>x xxx</w:t>
            </w:r>
          </w:p>
        </w:tc>
        <w:tc>
          <w:tcPr>
            <w:tcW w:w="1200" w:type="dxa"/>
            <w:tcBorders>
              <w:top w:val="nil"/>
              <w:left w:val="nil"/>
              <w:bottom w:val="single" w:sz="4" w:space="0" w:color="auto"/>
              <w:right w:val="single" w:sz="8" w:space="0" w:color="auto"/>
            </w:tcBorders>
            <w:shd w:val="clear" w:color="auto" w:fill="auto"/>
            <w:noWrap/>
            <w:vAlign w:val="bottom"/>
            <w:hideMark/>
          </w:tcPr>
          <w:p w14:paraId="20692716" w14:textId="128758A8" w:rsidR="009D4411" w:rsidRPr="00FA729F" w:rsidRDefault="00FA729F" w:rsidP="001B3C7B">
            <w:pPr>
              <w:spacing w:line="240" w:lineRule="auto"/>
              <w:jc w:val="right"/>
              <w:rPr>
                <w:rFonts w:eastAsia="Times New Roman" w:cs="Arial"/>
                <w:color w:val="000000"/>
                <w:spacing w:val="0"/>
                <w:lang w:val="en-US" w:eastAsia="bg-BG"/>
              </w:rPr>
            </w:pPr>
            <w:r>
              <w:rPr>
                <w:rFonts w:cs="Arial"/>
                <w:color w:val="000000"/>
                <w:lang w:val="en-US"/>
              </w:rPr>
              <w:t>xx xxx</w:t>
            </w:r>
          </w:p>
        </w:tc>
      </w:tr>
      <w:tr w:rsidR="00FA729F" w:rsidRPr="0057086A" w14:paraId="1C529D19" w14:textId="77777777" w:rsidTr="001B3C7B">
        <w:trPr>
          <w:trHeight w:val="285"/>
        </w:trPr>
        <w:tc>
          <w:tcPr>
            <w:tcW w:w="4580" w:type="dxa"/>
            <w:tcBorders>
              <w:top w:val="nil"/>
              <w:left w:val="single" w:sz="8" w:space="0" w:color="auto"/>
              <w:bottom w:val="single" w:sz="4" w:space="0" w:color="auto"/>
              <w:right w:val="nil"/>
            </w:tcBorders>
            <w:shd w:val="clear" w:color="auto" w:fill="auto"/>
            <w:noWrap/>
            <w:vAlign w:val="bottom"/>
            <w:hideMark/>
          </w:tcPr>
          <w:p w14:paraId="0213D65E" w14:textId="745BAB50" w:rsidR="00FA729F" w:rsidRPr="0057086A" w:rsidRDefault="00FA729F" w:rsidP="00FA729F">
            <w:pPr>
              <w:spacing w:line="240" w:lineRule="auto"/>
              <w:rPr>
                <w:rFonts w:eastAsia="Times New Roman" w:cs="Arial"/>
                <w:color w:val="000000"/>
                <w:spacing w:val="0"/>
                <w:lang w:val="en-US" w:eastAsia="bg-BG"/>
              </w:rPr>
            </w:pPr>
            <w:r w:rsidRPr="0057086A">
              <w:rPr>
                <w:rFonts w:eastAsia="Times New Roman" w:cs="Arial"/>
                <w:color w:val="000000"/>
                <w:spacing w:val="0"/>
                <w:lang w:eastAsia="bg-BG"/>
              </w:rPr>
              <w:t>Емитирани за 1-во пол. 202</w:t>
            </w:r>
            <w:r>
              <w:rPr>
                <w:rFonts w:eastAsia="Times New Roman" w:cs="Arial"/>
                <w:color w:val="000000"/>
                <w:spacing w:val="0"/>
                <w:lang w:val="en-US" w:eastAsia="bg-BG"/>
              </w:rPr>
              <w:t>4</w:t>
            </w:r>
          </w:p>
        </w:tc>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E137D22" w14:textId="77777777" w:rsidR="00FA729F" w:rsidRPr="0057086A" w:rsidRDefault="00FA729F" w:rsidP="00FA729F">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580" w:type="dxa"/>
            <w:tcBorders>
              <w:top w:val="single" w:sz="8" w:space="0" w:color="auto"/>
              <w:left w:val="nil"/>
              <w:bottom w:val="single" w:sz="8" w:space="0" w:color="auto"/>
              <w:right w:val="single" w:sz="4" w:space="0" w:color="auto"/>
            </w:tcBorders>
            <w:shd w:val="clear" w:color="auto" w:fill="auto"/>
            <w:noWrap/>
            <w:vAlign w:val="bottom"/>
            <w:hideMark/>
          </w:tcPr>
          <w:p w14:paraId="5CB468E7" w14:textId="23B90119" w:rsidR="00FA729F" w:rsidRPr="00C1672B" w:rsidRDefault="00FA729F" w:rsidP="00FA729F">
            <w:pPr>
              <w:spacing w:line="240" w:lineRule="auto"/>
              <w:jc w:val="right"/>
              <w:rPr>
                <w:rFonts w:eastAsia="Times New Roman" w:cs="Arial"/>
                <w:color w:val="000000"/>
                <w:spacing w:val="0"/>
                <w:lang w:val="en-US" w:eastAsia="bg-BG"/>
              </w:rPr>
            </w:pPr>
            <w:r>
              <w:rPr>
                <w:rFonts w:cs="Arial"/>
                <w:color w:val="000000"/>
                <w:lang w:val="en-US"/>
              </w:rPr>
              <w:t>xx xxx</w:t>
            </w:r>
          </w:p>
        </w:tc>
        <w:tc>
          <w:tcPr>
            <w:tcW w:w="1400" w:type="dxa"/>
            <w:tcBorders>
              <w:top w:val="single" w:sz="8" w:space="0" w:color="auto"/>
              <w:left w:val="nil"/>
              <w:bottom w:val="single" w:sz="8" w:space="0" w:color="auto"/>
              <w:right w:val="single" w:sz="4" w:space="0" w:color="auto"/>
            </w:tcBorders>
            <w:shd w:val="clear" w:color="auto" w:fill="auto"/>
            <w:noWrap/>
            <w:vAlign w:val="bottom"/>
            <w:hideMark/>
          </w:tcPr>
          <w:p w14:paraId="102957D0" w14:textId="42B5CABB" w:rsidR="00FA729F" w:rsidRPr="00C1672B" w:rsidRDefault="00FA729F" w:rsidP="00FA729F">
            <w:pPr>
              <w:spacing w:line="240" w:lineRule="auto"/>
              <w:jc w:val="right"/>
              <w:rPr>
                <w:rFonts w:eastAsia="Times New Roman" w:cs="Arial"/>
                <w:color w:val="000000"/>
                <w:spacing w:val="0"/>
                <w:lang w:val="en-US" w:eastAsia="bg-BG"/>
              </w:rPr>
            </w:pPr>
            <w:r>
              <w:rPr>
                <w:rFonts w:cs="Arial"/>
                <w:color w:val="000000"/>
                <w:lang w:val="en-US"/>
              </w:rPr>
              <w:t>x xxx</w:t>
            </w:r>
          </w:p>
        </w:tc>
        <w:tc>
          <w:tcPr>
            <w:tcW w:w="1200" w:type="dxa"/>
            <w:tcBorders>
              <w:top w:val="nil"/>
              <w:left w:val="nil"/>
              <w:bottom w:val="single" w:sz="4" w:space="0" w:color="auto"/>
              <w:right w:val="single" w:sz="8" w:space="0" w:color="auto"/>
            </w:tcBorders>
            <w:shd w:val="clear" w:color="auto" w:fill="auto"/>
            <w:noWrap/>
            <w:vAlign w:val="bottom"/>
            <w:hideMark/>
          </w:tcPr>
          <w:p w14:paraId="1D1A7DA3" w14:textId="597C1DC3" w:rsidR="00FA729F" w:rsidRPr="00C1672B" w:rsidRDefault="00FA729F" w:rsidP="00FA729F">
            <w:pPr>
              <w:spacing w:line="240" w:lineRule="auto"/>
              <w:jc w:val="right"/>
              <w:rPr>
                <w:rFonts w:eastAsia="Times New Roman" w:cs="Arial"/>
                <w:color w:val="000000"/>
                <w:spacing w:val="0"/>
                <w:lang w:val="en-US" w:eastAsia="bg-BG"/>
              </w:rPr>
            </w:pPr>
            <w:r>
              <w:rPr>
                <w:rFonts w:cs="Arial"/>
                <w:color w:val="000000"/>
                <w:lang w:val="en-US"/>
              </w:rPr>
              <w:t>xx xxx</w:t>
            </w:r>
          </w:p>
        </w:tc>
      </w:tr>
      <w:tr w:rsidR="009D4411" w:rsidRPr="0057086A" w14:paraId="1ABB7247" w14:textId="77777777" w:rsidTr="001B3C7B">
        <w:trPr>
          <w:trHeight w:val="285"/>
        </w:trPr>
        <w:tc>
          <w:tcPr>
            <w:tcW w:w="4580" w:type="dxa"/>
            <w:tcBorders>
              <w:top w:val="single" w:sz="4" w:space="0" w:color="auto"/>
              <w:left w:val="single" w:sz="8" w:space="0" w:color="auto"/>
              <w:bottom w:val="single" w:sz="4" w:space="0" w:color="auto"/>
              <w:right w:val="nil"/>
            </w:tcBorders>
            <w:shd w:val="clear" w:color="auto" w:fill="auto"/>
            <w:noWrap/>
            <w:vAlign w:val="bottom"/>
          </w:tcPr>
          <w:p w14:paraId="28619B7B" w14:textId="7EFF530E" w:rsidR="009D4411" w:rsidRPr="0057086A" w:rsidRDefault="009D4411" w:rsidP="001B3C7B">
            <w:pPr>
              <w:spacing w:line="240" w:lineRule="auto"/>
              <w:rPr>
                <w:rFonts w:eastAsia="Times New Roman" w:cs="Arial"/>
                <w:color w:val="000000"/>
                <w:spacing w:val="0"/>
                <w:lang w:val="en-US" w:eastAsia="bg-BG"/>
              </w:rPr>
            </w:pPr>
            <w:r w:rsidRPr="0057086A">
              <w:rPr>
                <w:rFonts w:eastAsia="Times New Roman" w:cs="Arial"/>
                <w:color w:val="000000"/>
                <w:spacing w:val="0"/>
                <w:lang w:eastAsia="bg-BG"/>
              </w:rPr>
              <w:t>Емитирани за периода 01.07.202</w:t>
            </w:r>
            <w:r w:rsidR="00C1672B">
              <w:rPr>
                <w:rFonts w:eastAsia="Times New Roman" w:cs="Arial"/>
                <w:color w:val="000000"/>
                <w:spacing w:val="0"/>
                <w:lang w:val="en-US" w:eastAsia="bg-BG"/>
              </w:rPr>
              <w:t>3</w:t>
            </w:r>
            <w:r w:rsidRPr="0057086A">
              <w:rPr>
                <w:rFonts w:eastAsia="Times New Roman" w:cs="Arial"/>
                <w:color w:val="000000"/>
                <w:spacing w:val="0"/>
                <w:lang w:eastAsia="bg-BG"/>
              </w:rPr>
              <w:t>-30.06.202</w:t>
            </w:r>
            <w:r w:rsidR="00C1672B">
              <w:rPr>
                <w:rFonts w:eastAsia="Times New Roman" w:cs="Arial"/>
                <w:color w:val="000000"/>
                <w:spacing w:val="0"/>
                <w:lang w:val="en-US" w:eastAsia="bg-BG"/>
              </w:rPr>
              <w:t>4</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67787" w14:textId="77777777" w:rsidR="009D4411" w:rsidRPr="0057086A" w:rsidRDefault="009D4411" w:rsidP="001B3C7B">
            <w:pPr>
              <w:spacing w:line="240" w:lineRule="auto"/>
              <w:jc w:val="center"/>
              <w:rPr>
                <w:rFonts w:eastAsia="Times New Roman" w:cs="Arial"/>
                <w:spacing w:val="0"/>
                <w:lang w:val="en-US" w:eastAsia="bg-BG"/>
              </w:rPr>
            </w:pPr>
            <w:r w:rsidRPr="0057086A">
              <w:rPr>
                <w:rFonts w:eastAsia="Times New Roman" w:cs="Arial"/>
                <w:spacing w:val="0"/>
                <w:lang w:val="en-US" w:eastAsia="bg-BG"/>
              </w:rPr>
              <w:t>t</w:t>
            </w:r>
          </w:p>
        </w:tc>
        <w:tc>
          <w:tcPr>
            <w:tcW w:w="1580" w:type="dxa"/>
            <w:tcBorders>
              <w:top w:val="single" w:sz="8" w:space="0" w:color="auto"/>
              <w:left w:val="nil"/>
              <w:bottom w:val="single" w:sz="4" w:space="0" w:color="auto"/>
              <w:right w:val="single" w:sz="4" w:space="0" w:color="auto"/>
            </w:tcBorders>
            <w:shd w:val="clear" w:color="auto" w:fill="auto"/>
            <w:noWrap/>
            <w:vAlign w:val="bottom"/>
          </w:tcPr>
          <w:p w14:paraId="7E745892" w14:textId="566022BB" w:rsidR="009D4411" w:rsidRPr="00FA729F" w:rsidRDefault="00FA729F" w:rsidP="001B3C7B">
            <w:pPr>
              <w:spacing w:line="240" w:lineRule="auto"/>
              <w:jc w:val="right"/>
              <w:rPr>
                <w:rFonts w:eastAsia="Times New Roman" w:cs="Arial"/>
                <w:color w:val="000000"/>
                <w:spacing w:val="0"/>
                <w:lang w:val="en-US" w:eastAsia="bg-BG"/>
              </w:rPr>
            </w:pPr>
            <w:r>
              <w:rPr>
                <w:rFonts w:cs="Arial"/>
                <w:color w:val="000000"/>
                <w:lang w:val="en-US"/>
              </w:rPr>
              <w:t xml:space="preserve">xxx </w:t>
            </w:r>
            <w:proofErr w:type="spellStart"/>
            <w:r>
              <w:rPr>
                <w:rFonts w:cs="Arial"/>
                <w:color w:val="000000"/>
                <w:lang w:val="en-US"/>
              </w:rPr>
              <w:t>xxx</w:t>
            </w:r>
            <w:proofErr w:type="spellEnd"/>
          </w:p>
        </w:tc>
        <w:tc>
          <w:tcPr>
            <w:tcW w:w="1400" w:type="dxa"/>
            <w:tcBorders>
              <w:top w:val="single" w:sz="8" w:space="0" w:color="auto"/>
              <w:left w:val="nil"/>
              <w:bottom w:val="single" w:sz="4" w:space="0" w:color="auto"/>
              <w:right w:val="single" w:sz="4" w:space="0" w:color="auto"/>
            </w:tcBorders>
            <w:shd w:val="clear" w:color="auto" w:fill="auto"/>
            <w:noWrap/>
            <w:vAlign w:val="bottom"/>
          </w:tcPr>
          <w:p w14:paraId="5076D3C5" w14:textId="1CF3FF45" w:rsidR="009D4411" w:rsidRPr="00C1672B" w:rsidRDefault="00FA729F" w:rsidP="001B3C7B">
            <w:pPr>
              <w:spacing w:line="240" w:lineRule="auto"/>
              <w:jc w:val="right"/>
              <w:rPr>
                <w:rFonts w:eastAsia="Times New Roman" w:cs="Arial"/>
                <w:color w:val="000000"/>
                <w:spacing w:val="0"/>
                <w:lang w:val="en-US" w:eastAsia="bg-BG"/>
              </w:rPr>
            </w:pPr>
            <w:r>
              <w:rPr>
                <w:rFonts w:cs="Arial"/>
                <w:color w:val="000000"/>
                <w:lang w:val="en-US"/>
              </w:rPr>
              <w:t>x xxx</w:t>
            </w:r>
          </w:p>
        </w:tc>
        <w:tc>
          <w:tcPr>
            <w:tcW w:w="1200" w:type="dxa"/>
            <w:tcBorders>
              <w:top w:val="single" w:sz="4" w:space="0" w:color="auto"/>
              <w:left w:val="nil"/>
              <w:bottom w:val="single" w:sz="4" w:space="0" w:color="auto"/>
              <w:right w:val="single" w:sz="8" w:space="0" w:color="auto"/>
            </w:tcBorders>
            <w:shd w:val="clear" w:color="auto" w:fill="auto"/>
            <w:noWrap/>
            <w:vAlign w:val="bottom"/>
          </w:tcPr>
          <w:p w14:paraId="79A71AC8" w14:textId="2488F04E" w:rsidR="009D4411" w:rsidRPr="00FA729F" w:rsidRDefault="00FA729F" w:rsidP="001B3C7B">
            <w:pPr>
              <w:spacing w:line="240" w:lineRule="auto"/>
              <w:jc w:val="right"/>
              <w:rPr>
                <w:rFonts w:eastAsia="Times New Roman" w:cs="Arial"/>
                <w:color w:val="000000"/>
                <w:spacing w:val="0"/>
                <w:lang w:val="en-US" w:eastAsia="bg-BG"/>
              </w:rPr>
            </w:pPr>
            <w:r>
              <w:rPr>
                <w:rFonts w:cs="Arial"/>
                <w:color w:val="000000"/>
                <w:lang w:val="en-US"/>
              </w:rPr>
              <w:t xml:space="preserve">xxx </w:t>
            </w:r>
            <w:proofErr w:type="spellStart"/>
            <w:r>
              <w:rPr>
                <w:rFonts w:cs="Arial"/>
                <w:color w:val="000000"/>
                <w:lang w:val="en-US"/>
              </w:rPr>
              <w:t>xxx</w:t>
            </w:r>
            <w:proofErr w:type="spellEnd"/>
          </w:p>
        </w:tc>
      </w:tr>
    </w:tbl>
    <w:p w14:paraId="241BDEF1" w14:textId="77777777" w:rsidR="009D4411" w:rsidRPr="0057086A" w:rsidRDefault="009D4411" w:rsidP="009D4411">
      <w:pPr>
        <w:ind w:left="709"/>
      </w:pPr>
    </w:p>
    <w:p w14:paraId="5C449286" w14:textId="77777777" w:rsidR="009D4411" w:rsidRPr="0057086A" w:rsidRDefault="009D4411" w:rsidP="009D4411">
      <w:pPr>
        <w:ind w:left="709"/>
      </w:pPr>
      <w:r w:rsidRPr="0057086A">
        <w:t>Предварително разпределените безплатни квоти са в следният размер:</w:t>
      </w:r>
    </w:p>
    <w:p w14:paraId="4DB609C0" w14:textId="77777777" w:rsidR="009D4411" w:rsidRPr="0057086A" w:rsidRDefault="009D4411" w:rsidP="009D4411">
      <w:pPr>
        <w:ind w:left="709"/>
      </w:pPr>
    </w:p>
    <w:tbl>
      <w:tblPr>
        <w:tblStyle w:val="TableGrid"/>
        <w:tblW w:w="8641" w:type="dxa"/>
        <w:tblLook w:val="04A0" w:firstRow="1" w:lastRow="0" w:firstColumn="1" w:lastColumn="0" w:noHBand="0" w:noVBand="1"/>
      </w:tblPr>
      <w:tblGrid>
        <w:gridCol w:w="1838"/>
        <w:gridCol w:w="1015"/>
        <w:gridCol w:w="1158"/>
        <w:gridCol w:w="1157"/>
        <w:gridCol w:w="1158"/>
        <w:gridCol w:w="1157"/>
        <w:gridCol w:w="1158"/>
      </w:tblGrid>
      <w:tr w:rsidR="009D4411" w:rsidRPr="0057086A" w14:paraId="3BDFBD92" w14:textId="77777777" w:rsidTr="001B3C7B">
        <w:tc>
          <w:tcPr>
            <w:tcW w:w="1838" w:type="dxa"/>
            <w:shd w:val="clear" w:color="auto" w:fill="777777" w:themeFill="background1" w:themeFillShade="D9"/>
          </w:tcPr>
          <w:p w14:paraId="5BA0FA3E" w14:textId="77777777" w:rsidR="009D4411" w:rsidRPr="0057086A" w:rsidRDefault="009D4411" w:rsidP="001B3C7B">
            <w:pPr>
              <w:rPr>
                <w:rFonts w:ascii="Frutiger Next for EVN Light" w:hAnsi="Frutiger Next for EVN Light"/>
                <w:b/>
              </w:rPr>
            </w:pPr>
            <w:r w:rsidRPr="0057086A">
              <w:rPr>
                <w:rFonts w:ascii="Frutiger Next for EVN Light" w:hAnsi="Frutiger Next for EVN Light"/>
                <w:b/>
              </w:rPr>
              <w:t xml:space="preserve">Период </w:t>
            </w:r>
          </w:p>
        </w:tc>
        <w:tc>
          <w:tcPr>
            <w:tcW w:w="1015" w:type="dxa"/>
            <w:shd w:val="clear" w:color="auto" w:fill="777777" w:themeFill="background1" w:themeFillShade="D9"/>
          </w:tcPr>
          <w:p w14:paraId="49AD0127"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2021</w:t>
            </w:r>
          </w:p>
        </w:tc>
        <w:tc>
          <w:tcPr>
            <w:tcW w:w="1158" w:type="dxa"/>
            <w:shd w:val="clear" w:color="auto" w:fill="777777" w:themeFill="background1" w:themeFillShade="D9"/>
          </w:tcPr>
          <w:p w14:paraId="0D120CD6"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2022</w:t>
            </w:r>
          </w:p>
        </w:tc>
        <w:tc>
          <w:tcPr>
            <w:tcW w:w="1157" w:type="dxa"/>
            <w:shd w:val="clear" w:color="auto" w:fill="777777" w:themeFill="background1" w:themeFillShade="D9"/>
          </w:tcPr>
          <w:p w14:paraId="08833527"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2023</w:t>
            </w:r>
          </w:p>
        </w:tc>
        <w:tc>
          <w:tcPr>
            <w:tcW w:w="1158" w:type="dxa"/>
            <w:shd w:val="clear" w:color="auto" w:fill="777777" w:themeFill="background1" w:themeFillShade="D9"/>
          </w:tcPr>
          <w:p w14:paraId="2C9AD09E"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2024</w:t>
            </w:r>
          </w:p>
        </w:tc>
        <w:tc>
          <w:tcPr>
            <w:tcW w:w="1157" w:type="dxa"/>
            <w:shd w:val="clear" w:color="auto" w:fill="777777" w:themeFill="background1" w:themeFillShade="D9"/>
          </w:tcPr>
          <w:p w14:paraId="4A4200C2"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2025</w:t>
            </w:r>
          </w:p>
        </w:tc>
        <w:tc>
          <w:tcPr>
            <w:tcW w:w="1158" w:type="dxa"/>
            <w:shd w:val="clear" w:color="auto" w:fill="777777" w:themeFill="background1" w:themeFillShade="D9"/>
          </w:tcPr>
          <w:p w14:paraId="6123F7A1" w14:textId="77777777" w:rsidR="009D4411" w:rsidRPr="0057086A" w:rsidRDefault="009D4411" w:rsidP="001B3C7B">
            <w:pPr>
              <w:jc w:val="center"/>
              <w:rPr>
                <w:rFonts w:ascii="Frutiger Next for EVN Light" w:hAnsi="Frutiger Next for EVN Light"/>
                <w:b/>
              </w:rPr>
            </w:pPr>
            <w:r w:rsidRPr="0057086A">
              <w:rPr>
                <w:rFonts w:ascii="Frutiger Next for EVN Light" w:hAnsi="Frutiger Next for EVN Light"/>
                <w:b/>
              </w:rPr>
              <w:t>ОБЩО</w:t>
            </w:r>
          </w:p>
        </w:tc>
      </w:tr>
      <w:tr w:rsidR="009D4411" w:rsidRPr="0057086A" w14:paraId="04D96C04" w14:textId="77777777" w:rsidTr="001B3C7B">
        <w:tc>
          <w:tcPr>
            <w:tcW w:w="1838" w:type="dxa"/>
          </w:tcPr>
          <w:p w14:paraId="11785AF7" w14:textId="77777777" w:rsidR="009D4411" w:rsidRPr="0057086A" w:rsidRDefault="009D4411" w:rsidP="001B3C7B">
            <w:pPr>
              <w:ind w:right="-110"/>
              <w:rPr>
                <w:rFonts w:ascii="Frutiger Next for EVN Light" w:hAnsi="Frutiger Next for EVN Light"/>
                <w:b/>
              </w:rPr>
            </w:pPr>
            <w:r w:rsidRPr="0057086A">
              <w:rPr>
                <w:rFonts w:ascii="Frutiger Next for EVN Light" w:hAnsi="Frutiger Next for EVN Light"/>
                <w:b/>
              </w:rPr>
              <w:t>Безплатни квоти</w:t>
            </w:r>
          </w:p>
        </w:tc>
        <w:tc>
          <w:tcPr>
            <w:tcW w:w="1015" w:type="dxa"/>
          </w:tcPr>
          <w:p w14:paraId="51466FCD" w14:textId="50E0CD52" w:rsidR="009D4411" w:rsidRPr="00FA729F" w:rsidRDefault="00FA729F" w:rsidP="001B3C7B">
            <w:pPr>
              <w:jc w:val="center"/>
              <w:rPr>
                <w:rFonts w:ascii="Frutiger Next for EVN Light" w:hAnsi="Frutiger Next for EVN Light"/>
                <w:lang w:val="en-US"/>
              </w:rPr>
            </w:pPr>
            <w:r>
              <w:rPr>
                <w:rFonts w:ascii="Frutiger Next for EVN Light" w:hAnsi="Frutiger Next for EVN Light"/>
                <w:lang w:val="en-US"/>
              </w:rPr>
              <w:t>xx xxx</w:t>
            </w:r>
          </w:p>
        </w:tc>
        <w:tc>
          <w:tcPr>
            <w:tcW w:w="1158" w:type="dxa"/>
          </w:tcPr>
          <w:p w14:paraId="163BDC8C" w14:textId="22C9B76F" w:rsidR="009D4411" w:rsidRPr="00FA729F" w:rsidRDefault="00FA729F" w:rsidP="001B3C7B">
            <w:pPr>
              <w:jc w:val="center"/>
              <w:rPr>
                <w:rFonts w:ascii="Frutiger Next for EVN Light" w:hAnsi="Frutiger Next for EVN Light"/>
                <w:lang w:val="en-US"/>
              </w:rPr>
            </w:pPr>
            <w:r>
              <w:rPr>
                <w:rFonts w:ascii="Frutiger Next for EVN Light" w:hAnsi="Frutiger Next for EVN Light"/>
                <w:lang w:val="en-US"/>
              </w:rPr>
              <w:t>xx xxx</w:t>
            </w:r>
          </w:p>
        </w:tc>
        <w:tc>
          <w:tcPr>
            <w:tcW w:w="1157" w:type="dxa"/>
          </w:tcPr>
          <w:p w14:paraId="1188AEDE" w14:textId="67243E94" w:rsidR="009D4411" w:rsidRPr="00FA729F" w:rsidRDefault="00FA729F" w:rsidP="001B3C7B">
            <w:pPr>
              <w:jc w:val="center"/>
              <w:rPr>
                <w:rFonts w:ascii="Frutiger Next for EVN Light" w:hAnsi="Frutiger Next for EVN Light"/>
                <w:lang w:val="en-US"/>
              </w:rPr>
            </w:pPr>
            <w:r>
              <w:rPr>
                <w:rFonts w:ascii="Frutiger Next for EVN Light" w:hAnsi="Frutiger Next for EVN Light"/>
                <w:lang w:val="en-US"/>
              </w:rPr>
              <w:t>xx xxx</w:t>
            </w:r>
          </w:p>
        </w:tc>
        <w:tc>
          <w:tcPr>
            <w:tcW w:w="1158" w:type="dxa"/>
          </w:tcPr>
          <w:p w14:paraId="43A9437B" w14:textId="56D7C859" w:rsidR="009D4411" w:rsidRPr="00667EDE" w:rsidRDefault="00FA729F" w:rsidP="001B3C7B">
            <w:pPr>
              <w:jc w:val="center"/>
              <w:rPr>
                <w:rFonts w:ascii="Frutiger Next for EVN Light" w:hAnsi="Frutiger Next for EVN Light"/>
                <w:lang w:val="en-US"/>
              </w:rPr>
            </w:pPr>
            <w:r>
              <w:rPr>
                <w:rFonts w:ascii="Frutiger Next for EVN Light" w:hAnsi="Frutiger Next for EVN Light"/>
                <w:lang w:val="en-US"/>
              </w:rPr>
              <w:t>xx xxx</w:t>
            </w:r>
          </w:p>
        </w:tc>
        <w:tc>
          <w:tcPr>
            <w:tcW w:w="1157" w:type="dxa"/>
          </w:tcPr>
          <w:p w14:paraId="4F8E8E70" w14:textId="7F0A3BDD" w:rsidR="009D4411" w:rsidRPr="00667EDE" w:rsidRDefault="00FA729F" w:rsidP="001B3C7B">
            <w:pPr>
              <w:jc w:val="center"/>
              <w:rPr>
                <w:rFonts w:ascii="Frutiger Next for EVN Light" w:hAnsi="Frutiger Next for EVN Light"/>
                <w:lang w:val="en-US"/>
              </w:rPr>
            </w:pPr>
            <w:r>
              <w:rPr>
                <w:rFonts w:ascii="Frutiger Next for EVN Light" w:hAnsi="Frutiger Next for EVN Light"/>
                <w:lang w:val="en-US"/>
              </w:rPr>
              <w:t>xx xxx</w:t>
            </w:r>
          </w:p>
        </w:tc>
        <w:tc>
          <w:tcPr>
            <w:tcW w:w="1158" w:type="dxa"/>
          </w:tcPr>
          <w:p w14:paraId="2AFB46D7" w14:textId="7D018937" w:rsidR="009D4411" w:rsidRPr="00667EDE" w:rsidRDefault="00FA729F" w:rsidP="001B3C7B">
            <w:pPr>
              <w:jc w:val="center"/>
              <w:rPr>
                <w:rFonts w:ascii="Frutiger Next for EVN Light" w:hAnsi="Frutiger Next for EVN Light"/>
                <w:b/>
                <w:lang w:val="en-US"/>
              </w:rPr>
            </w:pPr>
            <w:r>
              <w:rPr>
                <w:rFonts w:ascii="Frutiger Next for EVN Light" w:hAnsi="Frutiger Next for EVN Light"/>
                <w:b/>
                <w:lang w:val="en-US"/>
              </w:rPr>
              <w:t>xx xxx</w:t>
            </w:r>
          </w:p>
        </w:tc>
      </w:tr>
    </w:tbl>
    <w:p w14:paraId="24119AFD" w14:textId="77777777" w:rsidR="009D4411" w:rsidRPr="0057086A" w:rsidRDefault="009D4411" w:rsidP="009D4411">
      <w:pPr>
        <w:ind w:left="709"/>
      </w:pPr>
    </w:p>
    <w:p w14:paraId="4306F80C" w14:textId="3FCFB6D4" w:rsidR="00A908E8" w:rsidRPr="00155BBB" w:rsidRDefault="009D4411" w:rsidP="009D4411">
      <w:pPr>
        <w:ind w:left="709"/>
        <w:rPr>
          <w:color w:val="000000" w:themeColor="text1"/>
        </w:rPr>
      </w:pPr>
      <w:r w:rsidRPr="00155BBB">
        <w:rPr>
          <w:color w:val="000000" w:themeColor="text1"/>
        </w:rPr>
        <w:t>От емитираното за периода 01.07.202</w:t>
      </w:r>
      <w:r w:rsidR="00E25746" w:rsidRPr="00155BBB">
        <w:rPr>
          <w:color w:val="000000" w:themeColor="text1"/>
          <w:lang w:val="en-US"/>
        </w:rPr>
        <w:t>3</w:t>
      </w:r>
      <w:r w:rsidRPr="00155BBB">
        <w:rPr>
          <w:color w:val="000000" w:themeColor="text1"/>
        </w:rPr>
        <w:t>-30.06.202</w:t>
      </w:r>
      <w:r w:rsidR="00E25746" w:rsidRPr="00155BBB">
        <w:rPr>
          <w:color w:val="000000" w:themeColor="text1"/>
          <w:lang w:val="en-US"/>
        </w:rPr>
        <w:t>4</w:t>
      </w:r>
      <w:r w:rsidRPr="00155BBB">
        <w:rPr>
          <w:color w:val="000000" w:themeColor="text1"/>
        </w:rPr>
        <w:t xml:space="preserve">  количество са приспаднати 50% от полагаемите и получените съгласно предварителното разпределение безплатни квоти за 202</w:t>
      </w:r>
      <w:r w:rsidR="00E25746" w:rsidRPr="00155BBB">
        <w:rPr>
          <w:color w:val="000000" w:themeColor="text1"/>
          <w:lang w:val="en-US"/>
        </w:rPr>
        <w:t>3</w:t>
      </w:r>
      <w:r w:rsidRPr="00155BBB">
        <w:rPr>
          <w:color w:val="000000" w:themeColor="text1"/>
        </w:rPr>
        <w:t xml:space="preserve"> г. </w:t>
      </w:r>
    </w:p>
    <w:p w14:paraId="5273A4F7" w14:textId="21FF6883" w:rsidR="009D4411" w:rsidRPr="00155BBB" w:rsidRDefault="009D4411" w:rsidP="009D4411">
      <w:pPr>
        <w:ind w:left="709"/>
        <w:rPr>
          <w:color w:val="000000" w:themeColor="text1"/>
          <w:lang w:val="en-US"/>
        </w:rPr>
      </w:pPr>
      <w:r w:rsidRPr="00155BBB">
        <w:rPr>
          <w:color w:val="000000" w:themeColor="text1"/>
        </w:rPr>
        <w:t>(</w:t>
      </w:r>
      <w:r w:rsidR="00FA729F">
        <w:rPr>
          <w:color w:val="000000" w:themeColor="text1"/>
          <w:lang w:val="en-US"/>
        </w:rPr>
        <w:t>x xxx</w:t>
      </w:r>
      <w:r w:rsidRPr="00155BBB">
        <w:rPr>
          <w:color w:val="000000" w:themeColor="text1"/>
          <w:lang w:val="en-US"/>
        </w:rPr>
        <w:t>=</w:t>
      </w:r>
      <w:r w:rsidR="00FA729F">
        <w:rPr>
          <w:color w:val="000000" w:themeColor="text1"/>
          <w:lang w:val="en-US"/>
        </w:rPr>
        <w:t>xx xxx</w:t>
      </w:r>
      <w:r w:rsidRPr="00155BBB">
        <w:rPr>
          <w:color w:val="000000" w:themeColor="text1"/>
          <w:lang w:val="en-US"/>
        </w:rPr>
        <w:t>*50%)</w:t>
      </w:r>
      <w:r w:rsidRPr="00155BBB">
        <w:rPr>
          <w:color w:val="000000" w:themeColor="text1"/>
        </w:rPr>
        <w:t xml:space="preserve"> съответстващи на 2-во полугодие на 202</w:t>
      </w:r>
      <w:r w:rsidR="00E25746" w:rsidRPr="00155BBB">
        <w:rPr>
          <w:color w:val="000000" w:themeColor="text1"/>
          <w:lang w:val="en-US"/>
        </w:rPr>
        <w:t>3</w:t>
      </w:r>
      <w:r w:rsidRPr="00155BBB">
        <w:rPr>
          <w:color w:val="000000" w:themeColor="text1"/>
        </w:rPr>
        <w:t xml:space="preserve"> и 50% от очакваните за получаване</w:t>
      </w:r>
      <w:r w:rsidRPr="00155BBB">
        <w:rPr>
          <w:color w:val="000000" w:themeColor="text1"/>
          <w:lang w:val="en-US"/>
        </w:rPr>
        <w:t xml:space="preserve"> </w:t>
      </w:r>
      <w:r w:rsidRPr="00155BBB">
        <w:rPr>
          <w:color w:val="000000" w:themeColor="text1"/>
        </w:rPr>
        <w:t>съгласно предварителното разпределение безплатни квоти през 202</w:t>
      </w:r>
      <w:r w:rsidR="00E25746" w:rsidRPr="00155BBB">
        <w:rPr>
          <w:color w:val="000000" w:themeColor="text1"/>
          <w:lang w:val="en-US"/>
        </w:rPr>
        <w:t>4</w:t>
      </w:r>
      <w:r w:rsidRPr="00155BBB">
        <w:rPr>
          <w:color w:val="000000" w:themeColor="text1"/>
        </w:rPr>
        <w:t xml:space="preserve"> г. (</w:t>
      </w:r>
      <w:r w:rsidR="00FA729F">
        <w:rPr>
          <w:color w:val="000000" w:themeColor="text1"/>
          <w:lang w:val="en-US"/>
        </w:rPr>
        <w:t>x xxx</w:t>
      </w:r>
      <w:r w:rsidRPr="00155BBB">
        <w:rPr>
          <w:color w:val="000000" w:themeColor="text1"/>
          <w:lang w:val="en-US"/>
        </w:rPr>
        <w:t>=</w:t>
      </w:r>
      <w:r w:rsidR="00FA729F">
        <w:rPr>
          <w:color w:val="000000" w:themeColor="text1"/>
          <w:lang w:val="en-US"/>
        </w:rPr>
        <w:t>xx xxx</w:t>
      </w:r>
      <w:r w:rsidRPr="00155BBB">
        <w:rPr>
          <w:color w:val="000000" w:themeColor="text1"/>
          <w:lang w:val="en-US"/>
        </w:rPr>
        <w:t xml:space="preserve">*50%) </w:t>
      </w:r>
      <w:r w:rsidRPr="00155BBB">
        <w:rPr>
          <w:color w:val="000000" w:themeColor="text1"/>
        </w:rPr>
        <w:t>съответстващи на 1-во полугодие на 202</w:t>
      </w:r>
      <w:r w:rsidR="00E25746" w:rsidRPr="00155BBB">
        <w:rPr>
          <w:color w:val="000000" w:themeColor="text1"/>
          <w:lang w:val="en-US"/>
        </w:rPr>
        <w:t>4</w:t>
      </w:r>
    </w:p>
    <w:p w14:paraId="398C7564" w14:textId="77777777" w:rsidR="009D4411" w:rsidRPr="0057086A" w:rsidRDefault="009D4411" w:rsidP="009D4411">
      <w:pPr>
        <w:ind w:left="709"/>
      </w:pPr>
    </w:p>
    <w:tbl>
      <w:tblPr>
        <w:tblW w:w="9400" w:type="dxa"/>
        <w:tblCellMar>
          <w:left w:w="70" w:type="dxa"/>
          <w:right w:w="70" w:type="dxa"/>
        </w:tblCellMar>
        <w:tblLook w:val="04A0" w:firstRow="1" w:lastRow="0" w:firstColumn="1" w:lastColumn="0" w:noHBand="0" w:noVBand="1"/>
      </w:tblPr>
      <w:tblGrid>
        <w:gridCol w:w="4580"/>
        <w:gridCol w:w="640"/>
        <w:gridCol w:w="1580"/>
        <w:gridCol w:w="1400"/>
        <w:gridCol w:w="1200"/>
      </w:tblGrid>
      <w:tr w:rsidR="009D4411" w:rsidRPr="0057086A" w14:paraId="44CD0761" w14:textId="77777777" w:rsidTr="001B3C7B">
        <w:trPr>
          <w:trHeight w:val="270"/>
        </w:trPr>
        <w:tc>
          <w:tcPr>
            <w:tcW w:w="4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0591D" w14:textId="77777777" w:rsidR="009D4411" w:rsidRPr="0057086A" w:rsidRDefault="009D4411" w:rsidP="001B3C7B">
            <w:pPr>
              <w:spacing w:line="240" w:lineRule="auto"/>
              <w:rPr>
                <w:rFonts w:eastAsia="Times New Roman" w:cs="Arial"/>
                <w:spacing w:val="0"/>
                <w:lang w:eastAsia="bg-BG"/>
              </w:rPr>
            </w:pPr>
            <w:r w:rsidRPr="0057086A">
              <w:rPr>
                <w:rFonts w:eastAsia="Times New Roman" w:cs="Arial"/>
                <w:spacing w:val="0"/>
                <w:lang w:eastAsia="bg-BG"/>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79AEE" w14:textId="77777777" w:rsidR="009D4411" w:rsidRPr="0057086A" w:rsidRDefault="009D4411" w:rsidP="001B3C7B">
            <w:pPr>
              <w:spacing w:line="240" w:lineRule="auto"/>
              <w:rPr>
                <w:rFonts w:eastAsia="Times New Roman" w:cs="Arial"/>
                <w:spacing w:val="0"/>
                <w:lang w:eastAsia="bg-BG"/>
              </w:rPr>
            </w:pPr>
            <w:r w:rsidRPr="0057086A">
              <w:rPr>
                <w:rFonts w:eastAsia="Times New Roman" w:cs="Arial"/>
                <w:spacing w:val="0"/>
                <w:lang w:eastAsia="bg-BG"/>
              </w:rPr>
              <w:t>мярка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F7DCB" w14:textId="0EDF6E22" w:rsidR="009D4411" w:rsidRPr="0057086A" w:rsidRDefault="00A908E8" w:rsidP="001B3C7B">
            <w:pPr>
              <w:spacing w:line="240" w:lineRule="auto"/>
              <w:rPr>
                <w:rFonts w:eastAsia="Times New Roman" w:cs="Arial"/>
                <w:spacing w:val="0"/>
                <w:lang w:eastAsia="bg-BG"/>
              </w:rPr>
            </w:pPr>
            <w:r w:rsidRPr="0057086A">
              <w:rPr>
                <w:rFonts w:eastAsia="Times New Roman" w:cs="Arial"/>
                <w:spacing w:val="0"/>
                <w:lang w:eastAsia="bg-BG"/>
              </w:rPr>
              <w:t>Площадка</w:t>
            </w:r>
            <w:r w:rsidR="009D4411" w:rsidRPr="0057086A">
              <w:rPr>
                <w:rFonts w:eastAsia="Times New Roman" w:cs="Arial"/>
                <w:spacing w:val="0"/>
                <w:lang w:eastAsia="bg-BG"/>
              </w:rPr>
              <w:t xml:space="preserve"> Север</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9ACB7" w14:textId="77777777" w:rsidR="009D4411" w:rsidRPr="0057086A" w:rsidRDefault="009D4411" w:rsidP="001B3C7B">
            <w:pPr>
              <w:spacing w:line="240" w:lineRule="auto"/>
              <w:rPr>
                <w:rFonts w:eastAsia="Times New Roman" w:cs="Arial"/>
                <w:spacing w:val="0"/>
                <w:lang w:eastAsia="bg-BG"/>
              </w:rPr>
            </w:pPr>
            <w:r w:rsidRPr="0057086A">
              <w:rPr>
                <w:rFonts w:eastAsia="Times New Roman" w:cs="Arial"/>
                <w:spacing w:val="0"/>
                <w:lang w:eastAsia="bg-BG"/>
              </w:rPr>
              <w:t>Площадка Юг</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3A565" w14:textId="77777777" w:rsidR="009D4411" w:rsidRPr="0057086A" w:rsidRDefault="009D4411" w:rsidP="001B3C7B">
            <w:pPr>
              <w:spacing w:line="240" w:lineRule="auto"/>
              <w:rPr>
                <w:rFonts w:eastAsia="Times New Roman" w:cs="Arial"/>
                <w:spacing w:val="0"/>
                <w:lang w:eastAsia="bg-BG"/>
              </w:rPr>
            </w:pPr>
            <w:r w:rsidRPr="0057086A">
              <w:rPr>
                <w:rFonts w:eastAsia="Times New Roman" w:cs="Arial"/>
                <w:spacing w:val="0"/>
                <w:lang w:eastAsia="bg-BG"/>
              </w:rPr>
              <w:t>Общо за ТР</w:t>
            </w:r>
          </w:p>
        </w:tc>
      </w:tr>
      <w:tr w:rsidR="00667EDE" w:rsidRPr="0057086A" w14:paraId="0B73AFD1" w14:textId="77777777" w:rsidTr="00B555DA">
        <w:trPr>
          <w:trHeight w:val="393"/>
        </w:trPr>
        <w:tc>
          <w:tcPr>
            <w:tcW w:w="4580" w:type="dxa"/>
            <w:tcBorders>
              <w:top w:val="nil"/>
              <w:left w:val="single" w:sz="8" w:space="0" w:color="auto"/>
              <w:bottom w:val="single" w:sz="4" w:space="0" w:color="auto"/>
              <w:right w:val="nil"/>
            </w:tcBorders>
            <w:shd w:val="clear" w:color="auto" w:fill="auto"/>
            <w:noWrap/>
            <w:hideMark/>
          </w:tcPr>
          <w:p w14:paraId="08A0FF77" w14:textId="02E1B0C7" w:rsidR="00667EDE" w:rsidRPr="0057086A" w:rsidRDefault="00667EDE" w:rsidP="00667EDE">
            <w:pPr>
              <w:spacing w:line="240" w:lineRule="auto"/>
              <w:rPr>
                <w:rFonts w:eastAsia="Times New Roman" w:cs="Arial"/>
                <w:spacing w:val="0"/>
                <w:lang w:val="en-US" w:eastAsia="bg-BG"/>
              </w:rPr>
            </w:pPr>
            <w:r w:rsidRPr="00915C51">
              <w:t>емитирани за 2-во пол. 2023</w:t>
            </w:r>
          </w:p>
        </w:tc>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14:paraId="237528F0" w14:textId="7A6704C8" w:rsidR="00667EDE" w:rsidRPr="0057086A" w:rsidRDefault="00667EDE" w:rsidP="00667EDE">
            <w:pPr>
              <w:spacing w:line="240" w:lineRule="auto"/>
              <w:jc w:val="center"/>
              <w:rPr>
                <w:rFonts w:eastAsia="Times New Roman" w:cs="Arial"/>
                <w:spacing w:val="0"/>
                <w:lang w:eastAsia="bg-BG"/>
              </w:rPr>
            </w:pPr>
            <w:r w:rsidRPr="00915C51">
              <w:t>t</w:t>
            </w:r>
          </w:p>
        </w:tc>
        <w:tc>
          <w:tcPr>
            <w:tcW w:w="1580" w:type="dxa"/>
            <w:tcBorders>
              <w:top w:val="single" w:sz="4" w:space="0" w:color="auto"/>
              <w:left w:val="nil"/>
              <w:bottom w:val="single" w:sz="4" w:space="0" w:color="auto"/>
              <w:right w:val="single" w:sz="4" w:space="0" w:color="auto"/>
            </w:tcBorders>
            <w:shd w:val="clear" w:color="auto" w:fill="auto"/>
            <w:noWrap/>
            <w:hideMark/>
          </w:tcPr>
          <w:p w14:paraId="60B03536" w14:textId="2DA8DE63" w:rsidR="00667EDE" w:rsidRPr="00B555DA" w:rsidRDefault="00667EDE" w:rsidP="00667EDE">
            <w:pPr>
              <w:spacing w:line="240" w:lineRule="auto"/>
              <w:jc w:val="right"/>
              <w:rPr>
                <w:rFonts w:eastAsia="Times New Roman" w:cs="Arial"/>
                <w:spacing w:val="0"/>
                <w:lang w:val="en-US" w:eastAsia="bg-BG"/>
              </w:rPr>
            </w:pPr>
            <w:r w:rsidRPr="00915C51">
              <w:t>-</w:t>
            </w:r>
            <w:r w:rsidR="00B555DA">
              <w:rPr>
                <w:lang w:val="en-US"/>
              </w:rPr>
              <w:t>xx xxx</w:t>
            </w:r>
          </w:p>
        </w:tc>
        <w:tc>
          <w:tcPr>
            <w:tcW w:w="1400" w:type="dxa"/>
            <w:tcBorders>
              <w:top w:val="single" w:sz="4" w:space="0" w:color="auto"/>
              <w:left w:val="nil"/>
              <w:bottom w:val="single" w:sz="4" w:space="0" w:color="auto"/>
              <w:right w:val="single" w:sz="4" w:space="0" w:color="auto"/>
            </w:tcBorders>
            <w:shd w:val="clear" w:color="auto" w:fill="auto"/>
            <w:noWrap/>
            <w:hideMark/>
          </w:tcPr>
          <w:p w14:paraId="62F63108" w14:textId="6B99C7FB" w:rsidR="00667EDE" w:rsidRPr="00B555DA" w:rsidRDefault="00667EDE" w:rsidP="00667EDE">
            <w:pPr>
              <w:spacing w:line="240" w:lineRule="auto"/>
              <w:jc w:val="right"/>
              <w:rPr>
                <w:rFonts w:eastAsia="Times New Roman" w:cs="Arial"/>
                <w:spacing w:val="0"/>
                <w:lang w:val="en-US" w:eastAsia="bg-BG"/>
              </w:rPr>
            </w:pPr>
            <w:r w:rsidRPr="00915C51">
              <w:t>-</w:t>
            </w:r>
            <w:r w:rsidR="00B555DA">
              <w:rPr>
                <w:lang w:val="en-US"/>
              </w:rPr>
              <w:t>x xxx</w:t>
            </w:r>
          </w:p>
        </w:tc>
        <w:tc>
          <w:tcPr>
            <w:tcW w:w="1200" w:type="dxa"/>
            <w:tcBorders>
              <w:top w:val="nil"/>
              <w:left w:val="nil"/>
              <w:bottom w:val="single" w:sz="4" w:space="0" w:color="auto"/>
              <w:right w:val="single" w:sz="8" w:space="0" w:color="auto"/>
            </w:tcBorders>
            <w:shd w:val="clear" w:color="auto" w:fill="auto"/>
            <w:noWrap/>
            <w:hideMark/>
          </w:tcPr>
          <w:p w14:paraId="19C3E6A3" w14:textId="29084C13" w:rsidR="00667EDE" w:rsidRPr="00B555DA" w:rsidRDefault="00667EDE" w:rsidP="00667EDE">
            <w:pPr>
              <w:spacing w:line="240" w:lineRule="auto"/>
              <w:jc w:val="right"/>
              <w:rPr>
                <w:rFonts w:eastAsia="Times New Roman" w:cs="Arial"/>
                <w:spacing w:val="0"/>
                <w:lang w:val="en-US" w:eastAsia="bg-BG"/>
              </w:rPr>
            </w:pPr>
            <w:r w:rsidRPr="00915C51">
              <w:t>-</w:t>
            </w:r>
            <w:r w:rsidR="00B555DA">
              <w:rPr>
                <w:lang w:val="en-US"/>
              </w:rPr>
              <w:t>xx xxx</w:t>
            </w:r>
          </w:p>
        </w:tc>
      </w:tr>
      <w:tr w:rsidR="00667EDE" w:rsidRPr="0057086A" w14:paraId="3A8193BD" w14:textId="77777777" w:rsidTr="00085E37">
        <w:trPr>
          <w:trHeight w:val="285"/>
        </w:trPr>
        <w:tc>
          <w:tcPr>
            <w:tcW w:w="4580" w:type="dxa"/>
            <w:tcBorders>
              <w:top w:val="nil"/>
              <w:left w:val="single" w:sz="8" w:space="0" w:color="auto"/>
              <w:bottom w:val="single" w:sz="4" w:space="0" w:color="auto"/>
              <w:right w:val="nil"/>
            </w:tcBorders>
            <w:shd w:val="clear" w:color="auto" w:fill="auto"/>
            <w:noWrap/>
            <w:hideMark/>
          </w:tcPr>
          <w:p w14:paraId="702CAC08" w14:textId="0001220B" w:rsidR="00667EDE" w:rsidRPr="0057086A" w:rsidRDefault="00667EDE" w:rsidP="00667EDE">
            <w:pPr>
              <w:spacing w:line="240" w:lineRule="auto"/>
              <w:rPr>
                <w:rFonts w:eastAsia="Times New Roman" w:cs="Arial"/>
                <w:spacing w:val="0"/>
                <w:lang w:eastAsia="bg-BG"/>
              </w:rPr>
            </w:pPr>
            <w:r w:rsidRPr="00915C51">
              <w:t xml:space="preserve">безплатни Q </w:t>
            </w:r>
            <w:proofErr w:type="spellStart"/>
            <w:r w:rsidRPr="00915C51">
              <w:t>EUAs</w:t>
            </w:r>
            <w:proofErr w:type="spellEnd"/>
            <w:r w:rsidRPr="00915C51">
              <w:t xml:space="preserve"> </w:t>
            </w:r>
          </w:p>
        </w:tc>
        <w:tc>
          <w:tcPr>
            <w:tcW w:w="640" w:type="dxa"/>
            <w:tcBorders>
              <w:top w:val="nil"/>
              <w:left w:val="single" w:sz="4" w:space="0" w:color="auto"/>
              <w:bottom w:val="single" w:sz="4" w:space="0" w:color="auto"/>
              <w:right w:val="single" w:sz="4" w:space="0" w:color="auto"/>
            </w:tcBorders>
            <w:shd w:val="clear" w:color="auto" w:fill="auto"/>
            <w:noWrap/>
            <w:hideMark/>
          </w:tcPr>
          <w:p w14:paraId="7CD09734" w14:textId="4352B41C" w:rsidR="00667EDE" w:rsidRPr="0057086A" w:rsidRDefault="00667EDE" w:rsidP="00667EDE">
            <w:pPr>
              <w:spacing w:line="240" w:lineRule="auto"/>
              <w:jc w:val="center"/>
              <w:rPr>
                <w:rFonts w:eastAsia="Times New Roman" w:cs="Arial"/>
                <w:spacing w:val="0"/>
                <w:lang w:eastAsia="bg-BG"/>
              </w:rPr>
            </w:pPr>
            <w:r w:rsidRPr="00915C51">
              <w:t>t</w:t>
            </w:r>
          </w:p>
        </w:tc>
        <w:tc>
          <w:tcPr>
            <w:tcW w:w="1580" w:type="dxa"/>
            <w:tcBorders>
              <w:top w:val="nil"/>
              <w:left w:val="nil"/>
              <w:bottom w:val="single" w:sz="4" w:space="0" w:color="auto"/>
              <w:right w:val="single" w:sz="4" w:space="0" w:color="auto"/>
            </w:tcBorders>
            <w:shd w:val="clear" w:color="auto" w:fill="auto"/>
            <w:noWrap/>
            <w:hideMark/>
          </w:tcPr>
          <w:p w14:paraId="6945A019" w14:textId="51166270" w:rsidR="00667EDE" w:rsidRPr="00B555DA" w:rsidRDefault="00B555DA" w:rsidP="00667EDE">
            <w:pPr>
              <w:spacing w:line="240" w:lineRule="auto"/>
              <w:jc w:val="right"/>
              <w:rPr>
                <w:rFonts w:eastAsia="Times New Roman" w:cs="Arial"/>
                <w:spacing w:val="0"/>
                <w:lang w:val="en-US" w:eastAsia="bg-BG"/>
              </w:rPr>
            </w:pPr>
            <w:r>
              <w:rPr>
                <w:lang w:val="en-US"/>
              </w:rPr>
              <w:t>x xxx</w:t>
            </w:r>
          </w:p>
        </w:tc>
        <w:tc>
          <w:tcPr>
            <w:tcW w:w="1400" w:type="dxa"/>
            <w:tcBorders>
              <w:top w:val="nil"/>
              <w:left w:val="nil"/>
              <w:bottom w:val="single" w:sz="4" w:space="0" w:color="auto"/>
              <w:right w:val="single" w:sz="4" w:space="0" w:color="auto"/>
            </w:tcBorders>
            <w:shd w:val="clear" w:color="auto" w:fill="auto"/>
            <w:noWrap/>
            <w:hideMark/>
          </w:tcPr>
          <w:p w14:paraId="2F1BC2D0" w14:textId="5FC6DE61" w:rsidR="00667EDE" w:rsidRPr="00B555DA" w:rsidRDefault="00B555DA" w:rsidP="00667EDE">
            <w:pPr>
              <w:spacing w:line="240" w:lineRule="auto"/>
              <w:jc w:val="right"/>
              <w:rPr>
                <w:rFonts w:eastAsia="Times New Roman" w:cs="Arial"/>
                <w:spacing w:val="0"/>
                <w:lang w:val="en-US" w:eastAsia="bg-BG"/>
              </w:rPr>
            </w:pPr>
            <w:r>
              <w:rPr>
                <w:lang w:val="en-US"/>
              </w:rPr>
              <w:t>x xxx</w:t>
            </w:r>
          </w:p>
        </w:tc>
        <w:tc>
          <w:tcPr>
            <w:tcW w:w="1200" w:type="dxa"/>
            <w:tcBorders>
              <w:top w:val="nil"/>
              <w:left w:val="nil"/>
              <w:bottom w:val="single" w:sz="4" w:space="0" w:color="auto"/>
              <w:right w:val="single" w:sz="8" w:space="0" w:color="auto"/>
            </w:tcBorders>
            <w:shd w:val="clear" w:color="auto" w:fill="auto"/>
            <w:noWrap/>
            <w:hideMark/>
          </w:tcPr>
          <w:p w14:paraId="570D7656" w14:textId="71A21DDC" w:rsidR="00667EDE" w:rsidRPr="0057086A" w:rsidRDefault="00B555DA" w:rsidP="00667EDE">
            <w:pPr>
              <w:spacing w:line="240" w:lineRule="auto"/>
              <w:jc w:val="right"/>
              <w:rPr>
                <w:rFonts w:eastAsia="Times New Roman" w:cs="Arial"/>
                <w:spacing w:val="0"/>
                <w:lang w:eastAsia="bg-BG"/>
              </w:rPr>
            </w:pPr>
            <w:r>
              <w:rPr>
                <w:lang w:val="en-US"/>
              </w:rPr>
              <w:t>x xxx</w:t>
            </w:r>
          </w:p>
        </w:tc>
      </w:tr>
      <w:tr w:rsidR="00B555DA" w:rsidRPr="0057086A" w14:paraId="6073AE28" w14:textId="77777777" w:rsidTr="00085E37">
        <w:trPr>
          <w:trHeight w:val="285"/>
        </w:trPr>
        <w:tc>
          <w:tcPr>
            <w:tcW w:w="4580" w:type="dxa"/>
            <w:tcBorders>
              <w:top w:val="nil"/>
              <w:left w:val="single" w:sz="8" w:space="0" w:color="auto"/>
              <w:bottom w:val="single" w:sz="8" w:space="0" w:color="auto"/>
              <w:right w:val="nil"/>
            </w:tcBorders>
            <w:shd w:val="clear" w:color="000000" w:fill="ACB9CA"/>
            <w:noWrap/>
            <w:hideMark/>
          </w:tcPr>
          <w:p w14:paraId="180D92FA" w14:textId="371F6BF4" w:rsidR="00B555DA" w:rsidRPr="0057086A" w:rsidRDefault="00B555DA" w:rsidP="00B555DA">
            <w:pPr>
              <w:spacing w:line="240" w:lineRule="auto"/>
              <w:rPr>
                <w:rFonts w:eastAsia="Times New Roman" w:cs="Arial"/>
                <w:spacing w:val="0"/>
                <w:lang w:val="en-US" w:eastAsia="bg-BG"/>
              </w:rPr>
            </w:pPr>
            <w:r w:rsidRPr="00915C51">
              <w:t xml:space="preserve">за закупуване </w:t>
            </w:r>
          </w:p>
        </w:tc>
        <w:tc>
          <w:tcPr>
            <w:tcW w:w="640" w:type="dxa"/>
            <w:tcBorders>
              <w:top w:val="nil"/>
              <w:left w:val="single" w:sz="4" w:space="0" w:color="auto"/>
              <w:bottom w:val="single" w:sz="8" w:space="0" w:color="auto"/>
              <w:right w:val="single" w:sz="4" w:space="0" w:color="auto"/>
            </w:tcBorders>
            <w:shd w:val="clear" w:color="000000" w:fill="ACB9CA"/>
            <w:noWrap/>
            <w:hideMark/>
          </w:tcPr>
          <w:p w14:paraId="5BCC4813" w14:textId="4B7D34B9" w:rsidR="00B555DA" w:rsidRPr="0057086A" w:rsidRDefault="00B555DA" w:rsidP="00B555DA">
            <w:pPr>
              <w:spacing w:line="240" w:lineRule="auto"/>
              <w:jc w:val="center"/>
              <w:rPr>
                <w:rFonts w:eastAsia="Times New Roman" w:cs="Arial"/>
                <w:spacing w:val="0"/>
                <w:lang w:eastAsia="bg-BG"/>
              </w:rPr>
            </w:pPr>
          </w:p>
        </w:tc>
        <w:tc>
          <w:tcPr>
            <w:tcW w:w="1580" w:type="dxa"/>
            <w:tcBorders>
              <w:top w:val="nil"/>
              <w:left w:val="nil"/>
              <w:bottom w:val="nil"/>
              <w:right w:val="single" w:sz="4" w:space="0" w:color="auto"/>
            </w:tcBorders>
            <w:shd w:val="clear" w:color="000000" w:fill="ACB9CA"/>
            <w:noWrap/>
            <w:hideMark/>
          </w:tcPr>
          <w:p w14:paraId="46F5F724" w14:textId="069FA503" w:rsidR="00B555DA" w:rsidRPr="0057086A" w:rsidRDefault="00B555DA" w:rsidP="00B555DA">
            <w:pPr>
              <w:spacing w:line="240" w:lineRule="auto"/>
              <w:jc w:val="right"/>
              <w:rPr>
                <w:rFonts w:eastAsia="Times New Roman" w:cs="Arial"/>
                <w:spacing w:val="0"/>
                <w:lang w:eastAsia="bg-BG"/>
              </w:rPr>
            </w:pPr>
            <w:r w:rsidRPr="00915C51">
              <w:t>-</w:t>
            </w:r>
            <w:r>
              <w:rPr>
                <w:lang w:val="en-US"/>
              </w:rPr>
              <w:t>xx xxx</w:t>
            </w:r>
          </w:p>
        </w:tc>
        <w:tc>
          <w:tcPr>
            <w:tcW w:w="1400" w:type="dxa"/>
            <w:tcBorders>
              <w:top w:val="nil"/>
              <w:left w:val="single" w:sz="4" w:space="0" w:color="auto"/>
              <w:bottom w:val="nil"/>
              <w:right w:val="nil"/>
            </w:tcBorders>
            <w:shd w:val="clear" w:color="000000" w:fill="ACB9CA"/>
            <w:noWrap/>
            <w:hideMark/>
          </w:tcPr>
          <w:p w14:paraId="6516EBAE" w14:textId="0CAB9361" w:rsidR="00B555DA" w:rsidRPr="0057086A" w:rsidRDefault="00B555DA" w:rsidP="00B555DA">
            <w:pPr>
              <w:spacing w:line="240" w:lineRule="auto"/>
              <w:jc w:val="right"/>
              <w:rPr>
                <w:rFonts w:eastAsia="Times New Roman" w:cs="Arial"/>
                <w:spacing w:val="0"/>
                <w:lang w:eastAsia="bg-BG"/>
              </w:rPr>
            </w:pPr>
            <w:r w:rsidRPr="00915C51">
              <w:t>-</w:t>
            </w:r>
            <w:r>
              <w:rPr>
                <w:lang w:val="en-US"/>
              </w:rPr>
              <w:t>x xxx</w:t>
            </w:r>
          </w:p>
        </w:tc>
        <w:tc>
          <w:tcPr>
            <w:tcW w:w="1200" w:type="dxa"/>
            <w:tcBorders>
              <w:top w:val="nil"/>
              <w:left w:val="single" w:sz="4" w:space="0" w:color="auto"/>
              <w:bottom w:val="single" w:sz="8" w:space="0" w:color="auto"/>
              <w:right w:val="single" w:sz="8" w:space="0" w:color="auto"/>
            </w:tcBorders>
            <w:shd w:val="clear" w:color="000000" w:fill="ACB9CA"/>
            <w:noWrap/>
            <w:hideMark/>
          </w:tcPr>
          <w:p w14:paraId="3B5C569E" w14:textId="4A12D693" w:rsidR="00B555DA" w:rsidRPr="0057086A" w:rsidRDefault="00B555DA" w:rsidP="00B555DA">
            <w:pPr>
              <w:spacing w:line="240" w:lineRule="auto"/>
              <w:jc w:val="right"/>
              <w:rPr>
                <w:rFonts w:eastAsia="Times New Roman" w:cs="Arial"/>
                <w:spacing w:val="0"/>
                <w:lang w:eastAsia="bg-BG"/>
              </w:rPr>
            </w:pPr>
            <w:r w:rsidRPr="00915C51">
              <w:t>-</w:t>
            </w:r>
            <w:r>
              <w:rPr>
                <w:lang w:val="en-US"/>
              </w:rPr>
              <w:t>xx xxx</w:t>
            </w:r>
          </w:p>
        </w:tc>
      </w:tr>
      <w:tr w:rsidR="00B555DA" w:rsidRPr="0057086A" w14:paraId="271CABC8" w14:textId="77777777" w:rsidTr="00085E37">
        <w:trPr>
          <w:trHeight w:val="285"/>
        </w:trPr>
        <w:tc>
          <w:tcPr>
            <w:tcW w:w="4580" w:type="dxa"/>
            <w:tcBorders>
              <w:top w:val="nil"/>
              <w:left w:val="single" w:sz="8" w:space="0" w:color="auto"/>
              <w:bottom w:val="single" w:sz="4" w:space="0" w:color="auto"/>
              <w:right w:val="nil"/>
            </w:tcBorders>
            <w:shd w:val="clear" w:color="auto" w:fill="auto"/>
            <w:noWrap/>
            <w:hideMark/>
          </w:tcPr>
          <w:p w14:paraId="50ED2EAA" w14:textId="182B0520" w:rsidR="00B555DA" w:rsidRPr="0057086A" w:rsidRDefault="00B555DA" w:rsidP="00B555DA">
            <w:pPr>
              <w:spacing w:line="240" w:lineRule="auto"/>
              <w:rPr>
                <w:rFonts w:eastAsia="Times New Roman" w:cs="Arial"/>
                <w:spacing w:val="0"/>
                <w:lang w:val="en-US" w:eastAsia="bg-BG"/>
              </w:rPr>
            </w:pPr>
            <w:r w:rsidRPr="00915C51">
              <w:t>емитирани за 1-во пол. 2024</w:t>
            </w:r>
          </w:p>
        </w:tc>
        <w:tc>
          <w:tcPr>
            <w:tcW w:w="640" w:type="dxa"/>
            <w:tcBorders>
              <w:top w:val="nil"/>
              <w:left w:val="single" w:sz="4" w:space="0" w:color="auto"/>
              <w:bottom w:val="single" w:sz="4" w:space="0" w:color="auto"/>
              <w:right w:val="single" w:sz="4" w:space="0" w:color="auto"/>
            </w:tcBorders>
            <w:shd w:val="clear" w:color="auto" w:fill="auto"/>
            <w:noWrap/>
            <w:hideMark/>
          </w:tcPr>
          <w:p w14:paraId="36240C72" w14:textId="04E83724" w:rsidR="00B555DA" w:rsidRPr="0057086A" w:rsidRDefault="00B555DA" w:rsidP="00B555DA">
            <w:pPr>
              <w:spacing w:line="240" w:lineRule="auto"/>
              <w:jc w:val="center"/>
              <w:rPr>
                <w:rFonts w:eastAsia="Times New Roman" w:cs="Arial"/>
                <w:spacing w:val="0"/>
                <w:lang w:eastAsia="bg-BG"/>
              </w:rPr>
            </w:pPr>
            <w:r w:rsidRPr="00915C51">
              <w:t>t</w:t>
            </w:r>
          </w:p>
        </w:tc>
        <w:tc>
          <w:tcPr>
            <w:tcW w:w="1580" w:type="dxa"/>
            <w:tcBorders>
              <w:top w:val="single" w:sz="8" w:space="0" w:color="auto"/>
              <w:left w:val="nil"/>
              <w:bottom w:val="single" w:sz="4" w:space="0" w:color="auto"/>
              <w:right w:val="single" w:sz="4" w:space="0" w:color="auto"/>
            </w:tcBorders>
            <w:shd w:val="clear" w:color="auto" w:fill="auto"/>
            <w:noWrap/>
            <w:hideMark/>
          </w:tcPr>
          <w:p w14:paraId="1FFE3F57" w14:textId="79F9AA33" w:rsidR="00B555DA" w:rsidRPr="0057086A" w:rsidRDefault="00B555DA" w:rsidP="00B555DA">
            <w:pPr>
              <w:spacing w:line="240" w:lineRule="auto"/>
              <w:jc w:val="right"/>
              <w:rPr>
                <w:rFonts w:eastAsia="Times New Roman" w:cs="Arial"/>
                <w:spacing w:val="0"/>
                <w:lang w:eastAsia="bg-BG"/>
              </w:rPr>
            </w:pPr>
            <w:r w:rsidRPr="00915C51">
              <w:t>-</w:t>
            </w:r>
            <w:r>
              <w:rPr>
                <w:lang w:val="en-US"/>
              </w:rPr>
              <w:t>xx xxx</w:t>
            </w:r>
          </w:p>
        </w:tc>
        <w:tc>
          <w:tcPr>
            <w:tcW w:w="1400" w:type="dxa"/>
            <w:tcBorders>
              <w:top w:val="single" w:sz="8" w:space="0" w:color="auto"/>
              <w:left w:val="nil"/>
              <w:bottom w:val="single" w:sz="4" w:space="0" w:color="auto"/>
              <w:right w:val="single" w:sz="4" w:space="0" w:color="auto"/>
            </w:tcBorders>
            <w:shd w:val="clear" w:color="auto" w:fill="auto"/>
            <w:noWrap/>
            <w:hideMark/>
          </w:tcPr>
          <w:p w14:paraId="77D0C2D8" w14:textId="6E891143" w:rsidR="00B555DA" w:rsidRPr="0057086A" w:rsidRDefault="00B555DA" w:rsidP="00B555DA">
            <w:pPr>
              <w:spacing w:line="240" w:lineRule="auto"/>
              <w:jc w:val="right"/>
              <w:rPr>
                <w:rFonts w:eastAsia="Times New Roman" w:cs="Arial"/>
                <w:spacing w:val="0"/>
                <w:lang w:eastAsia="bg-BG"/>
              </w:rPr>
            </w:pPr>
            <w:r w:rsidRPr="00915C51">
              <w:t>-</w:t>
            </w:r>
            <w:r>
              <w:rPr>
                <w:lang w:val="en-US"/>
              </w:rPr>
              <w:t>x xxx</w:t>
            </w:r>
          </w:p>
        </w:tc>
        <w:tc>
          <w:tcPr>
            <w:tcW w:w="1200" w:type="dxa"/>
            <w:tcBorders>
              <w:top w:val="nil"/>
              <w:left w:val="nil"/>
              <w:bottom w:val="single" w:sz="4" w:space="0" w:color="auto"/>
              <w:right w:val="single" w:sz="8" w:space="0" w:color="auto"/>
            </w:tcBorders>
            <w:shd w:val="clear" w:color="auto" w:fill="auto"/>
            <w:noWrap/>
            <w:hideMark/>
          </w:tcPr>
          <w:p w14:paraId="1ECFDB4C" w14:textId="07A926F0" w:rsidR="00B555DA" w:rsidRPr="0057086A" w:rsidRDefault="00B555DA" w:rsidP="00B555DA">
            <w:pPr>
              <w:spacing w:line="240" w:lineRule="auto"/>
              <w:jc w:val="right"/>
              <w:rPr>
                <w:rFonts w:eastAsia="Times New Roman" w:cs="Arial"/>
                <w:spacing w:val="0"/>
                <w:lang w:eastAsia="bg-BG"/>
              </w:rPr>
            </w:pPr>
            <w:r w:rsidRPr="00915C51">
              <w:t>-</w:t>
            </w:r>
            <w:r>
              <w:rPr>
                <w:lang w:val="en-US"/>
              </w:rPr>
              <w:t>xx xxx</w:t>
            </w:r>
          </w:p>
        </w:tc>
      </w:tr>
      <w:tr w:rsidR="00B555DA" w:rsidRPr="0057086A" w14:paraId="20282C49" w14:textId="77777777" w:rsidTr="00085E37">
        <w:trPr>
          <w:trHeight w:val="285"/>
        </w:trPr>
        <w:tc>
          <w:tcPr>
            <w:tcW w:w="4580" w:type="dxa"/>
            <w:tcBorders>
              <w:top w:val="nil"/>
              <w:left w:val="single" w:sz="8" w:space="0" w:color="auto"/>
              <w:bottom w:val="single" w:sz="4" w:space="0" w:color="auto"/>
              <w:right w:val="nil"/>
            </w:tcBorders>
            <w:shd w:val="clear" w:color="auto" w:fill="auto"/>
            <w:noWrap/>
            <w:hideMark/>
          </w:tcPr>
          <w:p w14:paraId="11F6E1D7" w14:textId="18EDE47D" w:rsidR="00B555DA" w:rsidRPr="0057086A" w:rsidRDefault="00B555DA" w:rsidP="00B555DA">
            <w:pPr>
              <w:spacing w:line="240" w:lineRule="auto"/>
              <w:rPr>
                <w:rFonts w:eastAsia="Times New Roman" w:cs="Arial"/>
                <w:spacing w:val="0"/>
                <w:lang w:eastAsia="bg-BG"/>
              </w:rPr>
            </w:pPr>
            <w:r w:rsidRPr="00915C51">
              <w:t xml:space="preserve">безплатни Q </w:t>
            </w:r>
            <w:proofErr w:type="spellStart"/>
            <w:r w:rsidRPr="00915C51">
              <w:t>EUAs</w:t>
            </w:r>
            <w:proofErr w:type="spellEnd"/>
            <w:r w:rsidRPr="00915C51">
              <w:t xml:space="preserve"> </w:t>
            </w:r>
          </w:p>
        </w:tc>
        <w:tc>
          <w:tcPr>
            <w:tcW w:w="640" w:type="dxa"/>
            <w:tcBorders>
              <w:top w:val="nil"/>
              <w:left w:val="single" w:sz="4" w:space="0" w:color="auto"/>
              <w:bottom w:val="single" w:sz="4" w:space="0" w:color="auto"/>
              <w:right w:val="single" w:sz="4" w:space="0" w:color="auto"/>
            </w:tcBorders>
            <w:shd w:val="clear" w:color="auto" w:fill="auto"/>
            <w:noWrap/>
            <w:hideMark/>
          </w:tcPr>
          <w:p w14:paraId="4742A1D6" w14:textId="72FDCE1F" w:rsidR="00B555DA" w:rsidRPr="0057086A" w:rsidRDefault="00B555DA" w:rsidP="00B555DA">
            <w:pPr>
              <w:spacing w:line="240" w:lineRule="auto"/>
              <w:jc w:val="center"/>
              <w:rPr>
                <w:rFonts w:eastAsia="Times New Roman" w:cs="Arial"/>
                <w:spacing w:val="0"/>
                <w:lang w:eastAsia="bg-BG"/>
              </w:rPr>
            </w:pPr>
            <w:r w:rsidRPr="00915C51">
              <w:t>t</w:t>
            </w:r>
          </w:p>
        </w:tc>
        <w:tc>
          <w:tcPr>
            <w:tcW w:w="1580" w:type="dxa"/>
            <w:tcBorders>
              <w:top w:val="nil"/>
              <w:left w:val="nil"/>
              <w:bottom w:val="single" w:sz="4" w:space="0" w:color="auto"/>
              <w:right w:val="single" w:sz="4" w:space="0" w:color="auto"/>
            </w:tcBorders>
            <w:shd w:val="clear" w:color="auto" w:fill="auto"/>
            <w:noWrap/>
            <w:hideMark/>
          </w:tcPr>
          <w:p w14:paraId="62477970" w14:textId="6B071693" w:rsidR="00B555DA" w:rsidRPr="0057086A" w:rsidRDefault="00B555DA" w:rsidP="00B555DA">
            <w:pPr>
              <w:spacing w:line="240" w:lineRule="auto"/>
              <w:jc w:val="right"/>
              <w:rPr>
                <w:rFonts w:eastAsia="Times New Roman" w:cs="Arial"/>
                <w:spacing w:val="0"/>
                <w:lang w:val="en-US" w:eastAsia="bg-BG"/>
              </w:rPr>
            </w:pPr>
            <w:r>
              <w:rPr>
                <w:lang w:val="en-US"/>
              </w:rPr>
              <w:t>x xxx</w:t>
            </w:r>
          </w:p>
        </w:tc>
        <w:tc>
          <w:tcPr>
            <w:tcW w:w="1400" w:type="dxa"/>
            <w:tcBorders>
              <w:top w:val="nil"/>
              <w:left w:val="nil"/>
              <w:bottom w:val="single" w:sz="4" w:space="0" w:color="auto"/>
              <w:right w:val="single" w:sz="4" w:space="0" w:color="auto"/>
            </w:tcBorders>
            <w:shd w:val="clear" w:color="auto" w:fill="auto"/>
            <w:noWrap/>
            <w:hideMark/>
          </w:tcPr>
          <w:p w14:paraId="6B0AB0B3" w14:textId="5454A40E" w:rsidR="00B555DA" w:rsidRPr="0057086A" w:rsidRDefault="00B555DA" w:rsidP="00B555DA">
            <w:pPr>
              <w:spacing w:line="240" w:lineRule="auto"/>
              <w:jc w:val="right"/>
              <w:rPr>
                <w:rFonts w:eastAsia="Times New Roman" w:cs="Arial"/>
                <w:spacing w:val="0"/>
                <w:lang w:eastAsia="bg-BG"/>
              </w:rPr>
            </w:pPr>
            <w:r>
              <w:rPr>
                <w:lang w:val="en-US"/>
              </w:rPr>
              <w:t>x xxx</w:t>
            </w:r>
          </w:p>
        </w:tc>
        <w:tc>
          <w:tcPr>
            <w:tcW w:w="1200" w:type="dxa"/>
            <w:tcBorders>
              <w:top w:val="nil"/>
              <w:left w:val="nil"/>
              <w:bottom w:val="single" w:sz="4" w:space="0" w:color="auto"/>
              <w:right w:val="single" w:sz="8" w:space="0" w:color="auto"/>
            </w:tcBorders>
            <w:shd w:val="clear" w:color="auto" w:fill="auto"/>
            <w:noWrap/>
            <w:hideMark/>
          </w:tcPr>
          <w:p w14:paraId="1429BC44" w14:textId="3B03F660" w:rsidR="00B555DA" w:rsidRPr="0057086A" w:rsidRDefault="00B555DA" w:rsidP="00B555DA">
            <w:pPr>
              <w:spacing w:line="240" w:lineRule="auto"/>
              <w:jc w:val="right"/>
              <w:rPr>
                <w:rFonts w:eastAsia="Times New Roman" w:cs="Arial"/>
                <w:spacing w:val="0"/>
                <w:lang w:eastAsia="bg-BG"/>
              </w:rPr>
            </w:pPr>
            <w:r>
              <w:rPr>
                <w:lang w:val="en-US"/>
              </w:rPr>
              <w:t>x xxx</w:t>
            </w:r>
          </w:p>
        </w:tc>
      </w:tr>
      <w:tr w:rsidR="00B555DA" w:rsidRPr="0057086A" w14:paraId="269414B5" w14:textId="77777777" w:rsidTr="00085E37">
        <w:trPr>
          <w:trHeight w:val="285"/>
        </w:trPr>
        <w:tc>
          <w:tcPr>
            <w:tcW w:w="4580" w:type="dxa"/>
            <w:tcBorders>
              <w:top w:val="nil"/>
              <w:left w:val="single" w:sz="8" w:space="0" w:color="auto"/>
              <w:bottom w:val="single" w:sz="4" w:space="0" w:color="auto"/>
              <w:right w:val="single" w:sz="4" w:space="0" w:color="auto"/>
            </w:tcBorders>
            <w:shd w:val="clear" w:color="000000" w:fill="ACB9CA"/>
            <w:noWrap/>
            <w:hideMark/>
          </w:tcPr>
          <w:p w14:paraId="4037AD1C" w14:textId="188D93D5" w:rsidR="00B555DA" w:rsidRPr="0057086A" w:rsidRDefault="00B555DA" w:rsidP="00B555DA">
            <w:pPr>
              <w:spacing w:line="240" w:lineRule="auto"/>
              <w:rPr>
                <w:rFonts w:eastAsia="Times New Roman" w:cs="Arial"/>
                <w:spacing w:val="0"/>
                <w:lang w:val="en-US" w:eastAsia="bg-BG"/>
              </w:rPr>
            </w:pPr>
            <w:r w:rsidRPr="00915C51">
              <w:t xml:space="preserve">за закупуване </w:t>
            </w:r>
          </w:p>
        </w:tc>
        <w:tc>
          <w:tcPr>
            <w:tcW w:w="640" w:type="dxa"/>
            <w:tcBorders>
              <w:top w:val="nil"/>
              <w:left w:val="single" w:sz="4" w:space="0" w:color="auto"/>
              <w:bottom w:val="single" w:sz="4" w:space="0" w:color="auto"/>
              <w:right w:val="single" w:sz="4" w:space="0" w:color="auto"/>
            </w:tcBorders>
            <w:shd w:val="clear" w:color="000000" w:fill="ACB9CA"/>
            <w:noWrap/>
            <w:hideMark/>
          </w:tcPr>
          <w:p w14:paraId="32F8D4AD" w14:textId="0A6D0DA7" w:rsidR="00B555DA" w:rsidRPr="0057086A" w:rsidRDefault="00B555DA" w:rsidP="00B555DA">
            <w:pPr>
              <w:spacing w:line="240" w:lineRule="auto"/>
              <w:jc w:val="center"/>
              <w:rPr>
                <w:rFonts w:eastAsia="Times New Roman" w:cs="Arial"/>
                <w:spacing w:val="0"/>
                <w:lang w:val="en-US" w:eastAsia="bg-BG"/>
              </w:rPr>
            </w:pPr>
          </w:p>
        </w:tc>
        <w:tc>
          <w:tcPr>
            <w:tcW w:w="1580" w:type="dxa"/>
            <w:tcBorders>
              <w:top w:val="nil"/>
              <w:left w:val="single" w:sz="4" w:space="0" w:color="auto"/>
              <w:bottom w:val="single" w:sz="4" w:space="0" w:color="auto"/>
              <w:right w:val="single" w:sz="4" w:space="0" w:color="auto"/>
            </w:tcBorders>
            <w:shd w:val="clear" w:color="000000" w:fill="ACB9CA"/>
            <w:noWrap/>
            <w:hideMark/>
          </w:tcPr>
          <w:p w14:paraId="0F03D1F5" w14:textId="42ABA643" w:rsidR="00B555DA" w:rsidRPr="0057086A" w:rsidRDefault="00B555DA" w:rsidP="00B555DA">
            <w:pPr>
              <w:spacing w:line="240" w:lineRule="auto"/>
              <w:jc w:val="right"/>
              <w:rPr>
                <w:rFonts w:eastAsia="Times New Roman" w:cs="Arial"/>
                <w:spacing w:val="0"/>
                <w:lang w:eastAsia="bg-BG"/>
              </w:rPr>
            </w:pPr>
            <w:r w:rsidRPr="00915C51">
              <w:t>-</w:t>
            </w:r>
            <w:r>
              <w:rPr>
                <w:lang w:val="en-US"/>
              </w:rPr>
              <w:t>xx xxx</w:t>
            </w:r>
          </w:p>
        </w:tc>
        <w:tc>
          <w:tcPr>
            <w:tcW w:w="1400" w:type="dxa"/>
            <w:tcBorders>
              <w:top w:val="nil"/>
              <w:left w:val="single" w:sz="4" w:space="0" w:color="auto"/>
              <w:bottom w:val="single" w:sz="4" w:space="0" w:color="auto"/>
              <w:right w:val="nil"/>
            </w:tcBorders>
            <w:shd w:val="clear" w:color="000000" w:fill="ACB9CA"/>
            <w:noWrap/>
            <w:hideMark/>
          </w:tcPr>
          <w:p w14:paraId="209A6711" w14:textId="470B23CD" w:rsidR="00B555DA" w:rsidRPr="0057086A" w:rsidRDefault="00B555DA" w:rsidP="00B555DA">
            <w:pPr>
              <w:spacing w:line="240" w:lineRule="auto"/>
              <w:jc w:val="right"/>
              <w:rPr>
                <w:rFonts w:eastAsia="Times New Roman" w:cs="Arial"/>
                <w:spacing w:val="0"/>
                <w:lang w:eastAsia="bg-BG"/>
              </w:rPr>
            </w:pPr>
            <w:r w:rsidRPr="00915C51">
              <w:t>-</w:t>
            </w:r>
            <w:r>
              <w:rPr>
                <w:lang w:val="en-US"/>
              </w:rPr>
              <w:t>x xxx</w:t>
            </w:r>
          </w:p>
        </w:tc>
        <w:tc>
          <w:tcPr>
            <w:tcW w:w="1200" w:type="dxa"/>
            <w:tcBorders>
              <w:top w:val="nil"/>
              <w:left w:val="single" w:sz="4" w:space="0" w:color="auto"/>
              <w:bottom w:val="single" w:sz="4" w:space="0" w:color="auto"/>
              <w:right w:val="single" w:sz="8" w:space="0" w:color="auto"/>
            </w:tcBorders>
            <w:shd w:val="clear" w:color="000000" w:fill="ACB9CA"/>
            <w:noWrap/>
            <w:hideMark/>
          </w:tcPr>
          <w:p w14:paraId="5E70C074" w14:textId="109B6350" w:rsidR="00B555DA" w:rsidRPr="0057086A" w:rsidRDefault="00B555DA" w:rsidP="00B555DA">
            <w:pPr>
              <w:spacing w:line="240" w:lineRule="auto"/>
              <w:jc w:val="right"/>
              <w:rPr>
                <w:rFonts w:eastAsia="Times New Roman" w:cs="Arial"/>
                <w:spacing w:val="0"/>
                <w:lang w:eastAsia="bg-BG"/>
              </w:rPr>
            </w:pPr>
            <w:r w:rsidRPr="00915C51">
              <w:t>-</w:t>
            </w:r>
            <w:r>
              <w:rPr>
                <w:lang w:val="en-US"/>
              </w:rPr>
              <w:t>xx xxx</w:t>
            </w:r>
          </w:p>
        </w:tc>
      </w:tr>
      <w:tr w:rsidR="009D4411" w:rsidRPr="0057086A" w14:paraId="1FB61A83" w14:textId="77777777" w:rsidTr="001B3C7B">
        <w:trPr>
          <w:trHeight w:val="285"/>
        </w:trPr>
        <w:tc>
          <w:tcPr>
            <w:tcW w:w="4580" w:type="dxa"/>
            <w:tcBorders>
              <w:top w:val="single" w:sz="4" w:space="0" w:color="auto"/>
              <w:left w:val="single" w:sz="8" w:space="0" w:color="auto"/>
              <w:bottom w:val="single" w:sz="4" w:space="0" w:color="auto"/>
              <w:right w:val="single" w:sz="4" w:space="0" w:color="auto"/>
            </w:tcBorders>
            <w:shd w:val="clear" w:color="000000" w:fill="ACB9CA"/>
            <w:noWrap/>
            <w:vAlign w:val="bottom"/>
          </w:tcPr>
          <w:p w14:paraId="19EB332E" w14:textId="2C935395" w:rsidR="009D4411" w:rsidRPr="004F085C" w:rsidRDefault="009D4411" w:rsidP="001B3C7B">
            <w:pPr>
              <w:spacing w:line="240" w:lineRule="auto"/>
              <w:rPr>
                <w:rFonts w:eastAsia="Times New Roman" w:cs="Arial"/>
                <w:spacing w:val="0"/>
                <w:lang w:eastAsia="bg-BG"/>
              </w:rPr>
            </w:pPr>
            <w:r w:rsidRPr="0057086A">
              <w:rPr>
                <w:rFonts w:eastAsia="Times New Roman" w:cs="Arial"/>
                <w:spacing w:val="0"/>
                <w:lang w:eastAsia="bg-BG"/>
              </w:rPr>
              <w:t>за закупуване за периода 01.07.202</w:t>
            </w:r>
            <w:r w:rsidR="004F085C">
              <w:rPr>
                <w:rFonts w:eastAsia="Times New Roman" w:cs="Arial"/>
                <w:spacing w:val="0"/>
                <w:lang w:eastAsia="bg-BG"/>
              </w:rPr>
              <w:t>3</w:t>
            </w:r>
            <w:r w:rsidRPr="0057086A">
              <w:rPr>
                <w:rFonts w:eastAsia="Times New Roman" w:cs="Arial"/>
                <w:spacing w:val="0"/>
                <w:lang w:eastAsia="bg-BG"/>
              </w:rPr>
              <w:t>-30.06.202</w:t>
            </w:r>
            <w:r w:rsidR="004F085C">
              <w:rPr>
                <w:rFonts w:eastAsia="Times New Roman" w:cs="Arial"/>
                <w:spacing w:val="0"/>
                <w:lang w:eastAsia="bg-BG"/>
              </w:rPr>
              <w:t>4</w:t>
            </w:r>
          </w:p>
        </w:tc>
        <w:tc>
          <w:tcPr>
            <w:tcW w:w="640"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6F1733DD" w14:textId="77777777" w:rsidR="009D4411" w:rsidRPr="0057086A" w:rsidRDefault="009D4411" w:rsidP="001B3C7B">
            <w:pPr>
              <w:spacing w:line="240" w:lineRule="auto"/>
              <w:jc w:val="center"/>
              <w:rPr>
                <w:rFonts w:eastAsia="Times New Roman" w:cs="Arial"/>
                <w:spacing w:val="0"/>
                <w:lang w:val="en-US" w:eastAsia="bg-BG"/>
              </w:rPr>
            </w:pPr>
            <w:r w:rsidRPr="0057086A">
              <w:rPr>
                <w:rFonts w:eastAsia="Times New Roman" w:cs="Arial"/>
                <w:spacing w:val="0"/>
                <w:lang w:val="en-US" w:eastAsia="bg-BG"/>
              </w:rPr>
              <w:t>t</w:t>
            </w:r>
          </w:p>
        </w:tc>
        <w:tc>
          <w:tcPr>
            <w:tcW w:w="1580"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682DA26A" w14:textId="2457496B" w:rsidR="009D4411" w:rsidRPr="00667EDE" w:rsidRDefault="00B555DA" w:rsidP="001B3C7B">
            <w:pPr>
              <w:spacing w:line="240" w:lineRule="auto"/>
              <w:jc w:val="right"/>
              <w:rPr>
                <w:rFonts w:eastAsia="Times New Roman" w:cs="Arial"/>
                <w:spacing w:val="0"/>
                <w:lang w:val="en-US" w:eastAsia="bg-BG"/>
              </w:rPr>
            </w:pPr>
            <w:r>
              <w:rPr>
                <w:rFonts w:cs="Arial"/>
                <w:color w:val="000000"/>
                <w:lang w:val="en-US"/>
              </w:rPr>
              <w:t xml:space="preserve">xxx </w:t>
            </w:r>
            <w:proofErr w:type="spellStart"/>
            <w:r>
              <w:rPr>
                <w:rFonts w:cs="Arial"/>
                <w:color w:val="000000"/>
                <w:lang w:val="en-US"/>
              </w:rPr>
              <w:t>xxx</w:t>
            </w:r>
            <w:proofErr w:type="spellEnd"/>
          </w:p>
        </w:tc>
        <w:tc>
          <w:tcPr>
            <w:tcW w:w="1400" w:type="dxa"/>
            <w:tcBorders>
              <w:top w:val="single" w:sz="4" w:space="0" w:color="auto"/>
              <w:left w:val="single" w:sz="4" w:space="0" w:color="auto"/>
              <w:bottom w:val="single" w:sz="4" w:space="0" w:color="auto"/>
              <w:right w:val="nil"/>
            </w:tcBorders>
            <w:shd w:val="clear" w:color="000000" w:fill="ACB9CA"/>
            <w:noWrap/>
            <w:vAlign w:val="bottom"/>
          </w:tcPr>
          <w:p w14:paraId="39BCA389" w14:textId="195F80B4" w:rsidR="009D4411" w:rsidRPr="00667EDE" w:rsidRDefault="00B555DA" w:rsidP="001B3C7B">
            <w:pPr>
              <w:spacing w:line="240" w:lineRule="auto"/>
              <w:jc w:val="right"/>
              <w:rPr>
                <w:rFonts w:eastAsia="Times New Roman" w:cs="Arial"/>
                <w:spacing w:val="0"/>
                <w:lang w:val="en-US" w:eastAsia="bg-BG"/>
              </w:rPr>
            </w:pPr>
            <w:r>
              <w:rPr>
                <w:rFonts w:cs="Arial"/>
                <w:color w:val="000000"/>
                <w:lang w:val="en-US"/>
              </w:rPr>
              <w:t>x xxx</w:t>
            </w:r>
          </w:p>
        </w:tc>
        <w:tc>
          <w:tcPr>
            <w:tcW w:w="1200" w:type="dxa"/>
            <w:tcBorders>
              <w:top w:val="single" w:sz="4" w:space="0" w:color="auto"/>
              <w:left w:val="single" w:sz="4" w:space="0" w:color="auto"/>
              <w:bottom w:val="single" w:sz="4" w:space="0" w:color="auto"/>
              <w:right w:val="single" w:sz="8" w:space="0" w:color="auto"/>
            </w:tcBorders>
            <w:shd w:val="clear" w:color="000000" w:fill="ACB9CA"/>
            <w:noWrap/>
            <w:vAlign w:val="bottom"/>
          </w:tcPr>
          <w:p w14:paraId="14DA8F3F" w14:textId="11D8510E" w:rsidR="009D4411" w:rsidRPr="00B555DA" w:rsidRDefault="00B555DA" w:rsidP="001B3C7B">
            <w:pPr>
              <w:spacing w:line="240" w:lineRule="auto"/>
              <w:jc w:val="right"/>
              <w:rPr>
                <w:rFonts w:eastAsia="Times New Roman" w:cs="Arial"/>
                <w:spacing w:val="0"/>
                <w:lang w:val="en-US" w:eastAsia="bg-BG"/>
              </w:rPr>
            </w:pPr>
            <w:r>
              <w:rPr>
                <w:rFonts w:cs="Arial"/>
                <w:color w:val="000000"/>
                <w:lang w:val="en-US"/>
              </w:rPr>
              <w:t xml:space="preserve">xxx </w:t>
            </w:r>
            <w:proofErr w:type="spellStart"/>
            <w:r>
              <w:rPr>
                <w:rFonts w:cs="Arial"/>
                <w:color w:val="000000"/>
                <w:lang w:val="en-US"/>
              </w:rPr>
              <w:t>xxx</w:t>
            </w:r>
            <w:proofErr w:type="spellEnd"/>
          </w:p>
        </w:tc>
      </w:tr>
    </w:tbl>
    <w:p w14:paraId="2823D707" w14:textId="77777777" w:rsidR="009D4411" w:rsidRPr="0057086A" w:rsidRDefault="009D4411" w:rsidP="009D4411">
      <w:pPr>
        <w:ind w:left="709"/>
        <w:rPr>
          <w:lang w:val="en-US"/>
        </w:rPr>
      </w:pPr>
    </w:p>
    <w:p w14:paraId="01FCED4E" w14:textId="6B85519F" w:rsidR="009D4411" w:rsidRPr="00155BBB" w:rsidRDefault="009D4411" w:rsidP="009D4411">
      <w:pPr>
        <w:ind w:left="709"/>
        <w:rPr>
          <w:color w:val="000000" w:themeColor="text1"/>
          <w:highlight w:val="yellow"/>
        </w:rPr>
      </w:pPr>
      <w:r w:rsidRPr="00155BBB">
        <w:rPr>
          <w:color w:val="000000" w:themeColor="text1"/>
        </w:rPr>
        <w:t xml:space="preserve">Данните за вложените горива са на база </w:t>
      </w:r>
      <w:r w:rsidRPr="00155BBB">
        <w:rPr>
          <w:b/>
          <w:color w:val="000000" w:themeColor="text1"/>
        </w:rPr>
        <w:t>отчет</w:t>
      </w:r>
      <w:r w:rsidRPr="00155BBB">
        <w:rPr>
          <w:color w:val="000000" w:themeColor="text1"/>
        </w:rPr>
        <w:t xml:space="preserve"> за периода 01.07.202</w:t>
      </w:r>
      <w:r w:rsidR="003108DC" w:rsidRPr="00155BBB">
        <w:rPr>
          <w:color w:val="000000" w:themeColor="text1"/>
          <w:lang w:val="en-US"/>
        </w:rPr>
        <w:t>3</w:t>
      </w:r>
      <w:r w:rsidRPr="00155BBB">
        <w:rPr>
          <w:color w:val="000000" w:themeColor="text1"/>
        </w:rPr>
        <w:t xml:space="preserve"> – 28.02.202</w:t>
      </w:r>
      <w:r w:rsidR="003108DC" w:rsidRPr="00155BBB">
        <w:rPr>
          <w:color w:val="000000" w:themeColor="text1"/>
          <w:lang w:val="en-US"/>
        </w:rPr>
        <w:t>4</w:t>
      </w:r>
      <w:r w:rsidRPr="00155BBB">
        <w:rPr>
          <w:color w:val="000000" w:themeColor="text1"/>
        </w:rPr>
        <w:t xml:space="preserve"> и </w:t>
      </w:r>
      <w:r w:rsidRPr="00155BBB">
        <w:rPr>
          <w:b/>
          <w:color w:val="000000" w:themeColor="text1"/>
        </w:rPr>
        <w:t>прогноза</w:t>
      </w:r>
      <w:r w:rsidRPr="00155BBB">
        <w:rPr>
          <w:color w:val="000000" w:themeColor="text1"/>
        </w:rPr>
        <w:t xml:space="preserve"> за периода 01.03.202</w:t>
      </w:r>
      <w:r w:rsidR="003108DC" w:rsidRPr="00155BBB">
        <w:rPr>
          <w:color w:val="000000" w:themeColor="text1"/>
          <w:lang w:val="en-US"/>
        </w:rPr>
        <w:t>4</w:t>
      </w:r>
      <w:r w:rsidRPr="00155BBB">
        <w:rPr>
          <w:color w:val="000000" w:themeColor="text1"/>
        </w:rPr>
        <w:t>-30.06.202</w:t>
      </w:r>
      <w:r w:rsidR="003108DC" w:rsidRPr="00155BBB">
        <w:rPr>
          <w:color w:val="000000" w:themeColor="text1"/>
          <w:lang w:val="en-US"/>
        </w:rPr>
        <w:t>4</w:t>
      </w:r>
      <w:r w:rsidRPr="00155BBB">
        <w:rPr>
          <w:color w:val="000000" w:themeColor="text1"/>
        </w:rPr>
        <w:t xml:space="preserve"> г. </w:t>
      </w:r>
    </w:p>
    <w:p w14:paraId="5F2880EE" w14:textId="77777777" w:rsidR="009D4411" w:rsidRPr="00155BBB" w:rsidRDefault="009D4411" w:rsidP="009D4411">
      <w:pPr>
        <w:ind w:left="709"/>
        <w:rPr>
          <w:color w:val="000000" w:themeColor="text1"/>
          <w:highlight w:val="yellow"/>
        </w:rPr>
      </w:pPr>
    </w:p>
    <w:p w14:paraId="2FE72220" w14:textId="5F629649" w:rsidR="009D4411" w:rsidRPr="00155BBB" w:rsidRDefault="009D4411" w:rsidP="009D4411">
      <w:pPr>
        <w:ind w:left="709"/>
        <w:rPr>
          <w:color w:val="000000" w:themeColor="text1"/>
          <w:lang w:val="en-US"/>
        </w:rPr>
      </w:pPr>
      <w:r w:rsidRPr="00155BBB">
        <w:rPr>
          <w:color w:val="000000" w:themeColor="text1"/>
        </w:rPr>
        <w:t>Прогнозната цена на въглеродните емисии (</w:t>
      </w:r>
      <w:proofErr w:type="spellStart"/>
      <w:r w:rsidRPr="00155BBB">
        <w:rPr>
          <w:b/>
          <w:color w:val="000000" w:themeColor="text1"/>
        </w:rPr>
        <w:t>Цпе</w:t>
      </w:r>
      <w:proofErr w:type="spellEnd"/>
      <w:r w:rsidRPr="00155BBB">
        <w:rPr>
          <w:color w:val="000000" w:themeColor="text1"/>
        </w:rPr>
        <w:t xml:space="preserve">) е </w:t>
      </w:r>
      <w:proofErr w:type="spellStart"/>
      <w:r w:rsidR="005928F0">
        <w:rPr>
          <w:color w:val="000000" w:themeColor="text1"/>
          <w:lang w:val="en-US"/>
        </w:rPr>
        <w:t>xx</w:t>
      </w:r>
      <w:r w:rsidR="00E25746" w:rsidRPr="00155BBB">
        <w:rPr>
          <w:color w:val="000000" w:themeColor="text1"/>
          <w:lang w:val="en-US"/>
        </w:rPr>
        <w:t>.</w:t>
      </w:r>
      <w:r w:rsidR="005928F0">
        <w:rPr>
          <w:color w:val="000000" w:themeColor="text1"/>
          <w:lang w:val="en-US"/>
        </w:rPr>
        <w:t>xx</w:t>
      </w:r>
      <w:proofErr w:type="spellEnd"/>
      <w:r w:rsidRPr="00155BBB">
        <w:rPr>
          <w:color w:val="000000" w:themeColor="text1"/>
        </w:rPr>
        <w:t>евро/t и е определена съгласно т.13 от Общия подход на Решение Ц-</w:t>
      </w:r>
      <w:r w:rsidR="003B250F" w:rsidRPr="00155BBB">
        <w:rPr>
          <w:color w:val="000000" w:themeColor="text1"/>
          <w:lang w:val="en-US"/>
        </w:rPr>
        <w:t>1</w:t>
      </w:r>
      <w:r w:rsidR="00316E4B" w:rsidRPr="00155BBB">
        <w:rPr>
          <w:color w:val="000000" w:themeColor="text1"/>
          <w:lang w:val="en-US"/>
        </w:rPr>
        <w:t>2</w:t>
      </w:r>
      <w:r w:rsidRPr="00155BBB">
        <w:rPr>
          <w:color w:val="000000" w:themeColor="text1"/>
        </w:rPr>
        <w:t xml:space="preserve"> от 01.07.202</w:t>
      </w:r>
      <w:r w:rsidR="00316E4B" w:rsidRPr="00155BBB">
        <w:rPr>
          <w:color w:val="000000" w:themeColor="text1"/>
          <w:lang w:val="en-US"/>
        </w:rPr>
        <w:t>3</w:t>
      </w:r>
    </w:p>
    <w:p w14:paraId="5114F32D" w14:textId="77777777" w:rsidR="009D4411" w:rsidRPr="00155BBB" w:rsidRDefault="009D4411" w:rsidP="009D4411">
      <w:pPr>
        <w:ind w:left="709"/>
        <w:rPr>
          <w:color w:val="000000" w:themeColor="text1"/>
          <w:lang w:val="en-US"/>
        </w:rPr>
      </w:pPr>
    </w:p>
    <w:p w14:paraId="2BC1DF1D" w14:textId="2DB38442" w:rsidR="009D4411" w:rsidRPr="00155BBB" w:rsidRDefault="009D4411" w:rsidP="009D4411">
      <w:pPr>
        <w:ind w:left="709"/>
        <w:rPr>
          <w:color w:val="000000" w:themeColor="text1"/>
          <w:lang w:val="en-US"/>
        </w:rPr>
      </w:pPr>
      <w:r w:rsidRPr="00155BBB">
        <w:rPr>
          <w:color w:val="000000" w:themeColor="text1"/>
        </w:rPr>
        <w:t>Отчетената средна цена на въглеродните емисии на проведените първични търгове на Европейската енергийна борса за регулаторния период (</w:t>
      </w:r>
      <w:r w:rsidRPr="00155BBB">
        <w:rPr>
          <w:b/>
          <w:color w:val="000000" w:themeColor="text1"/>
        </w:rPr>
        <w:t>ЦII</w:t>
      </w:r>
      <w:r w:rsidRPr="00155BBB">
        <w:rPr>
          <w:color w:val="000000" w:themeColor="text1"/>
        </w:rPr>
        <w:t xml:space="preserve">) е </w:t>
      </w:r>
      <w:proofErr w:type="spellStart"/>
      <w:r w:rsidR="005928F0">
        <w:rPr>
          <w:color w:val="000000" w:themeColor="text1"/>
          <w:lang w:val="en-US"/>
        </w:rPr>
        <w:t>xx</w:t>
      </w:r>
      <w:r w:rsidR="00B93816" w:rsidRPr="00155BBB">
        <w:rPr>
          <w:color w:val="000000" w:themeColor="text1"/>
          <w:lang w:val="en-US"/>
        </w:rPr>
        <w:t>.</w:t>
      </w:r>
      <w:r w:rsidR="005928F0">
        <w:rPr>
          <w:color w:val="000000" w:themeColor="text1"/>
          <w:lang w:val="en-US"/>
        </w:rPr>
        <w:t>xx</w:t>
      </w:r>
      <w:proofErr w:type="spellEnd"/>
      <w:r w:rsidRPr="00155BBB">
        <w:rPr>
          <w:color w:val="000000" w:themeColor="text1"/>
          <w:lang w:val="en-US"/>
        </w:rPr>
        <w:t xml:space="preserve"> </w:t>
      </w:r>
      <w:r w:rsidRPr="00155BBB">
        <w:rPr>
          <w:color w:val="000000" w:themeColor="text1"/>
        </w:rPr>
        <w:t xml:space="preserve">евро/t. Цената е калкулирана на база информация от интернет страницата на Европейската енергийна борса (източник: </w:t>
      </w:r>
      <w:hyperlink r:id="rId34" w:history="1">
        <w:r w:rsidRPr="00155BBB">
          <w:rPr>
            <w:rStyle w:val="Hyperlink"/>
            <w:color w:val="000000" w:themeColor="text1"/>
          </w:rPr>
          <w:t>https://www.eex.com/en/market-data/environmental-markets/auction-market</w:t>
        </w:r>
      </w:hyperlink>
      <w:r w:rsidRPr="00155BBB">
        <w:rPr>
          <w:color w:val="000000" w:themeColor="text1"/>
        </w:rPr>
        <w:t xml:space="preserve"> ), като средна стойност на тръжните цени за период</w:t>
      </w:r>
      <w:r w:rsidRPr="00155BBB">
        <w:rPr>
          <w:color w:val="000000" w:themeColor="text1"/>
          <w:lang w:val="en-US"/>
        </w:rPr>
        <w:t>a 01.07.202</w:t>
      </w:r>
      <w:r w:rsidR="00B93816" w:rsidRPr="00155BBB">
        <w:rPr>
          <w:color w:val="000000" w:themeColor="text1"/>
          <w:lang w:val="en-US"/>
        </w:rPr>
        <w:t>3</w:t>
      </w:r>
      <w:r w:rsidRPr="00155BBB">
        <w:rPr>
          <w:color w:val="000000" w:themeColor="text1"/>
          <w:lang w:val="en-US"/>
        </w:rPr>
        <w:t xml:space="preserve"> – </w:t>
      </w:r>
      <w:r w:rsidR="00B93816" w:rsidRPr="00155BBB">
        <w:rPr>
          <w:color w:val="000000" w:themeColor="text1"/>
          <w:lang w:val="en-US"/>
        </w:rPr>
        <w:t>18</w:t>
      </w:r>
      <w:r w:rsidRPr="00155BBB">
        <w:rPr>
          <w:color w:val="000000" w:themeColor="text1"/>
          <w:lang w:val="en-US"/>
        </w:rPr>
        <w:t>.03.202</w:t>
      </w:r>
      <w:r w:rsidR="00B93816" w:rsidRPr="00155BBB">
        <w:rPr>
          <w:color w:val="000000" w:themeColor="text1"/>
          <w:lang w:val="en-US"/>
        </w:rPr>
        <w:t>4</w:t>
      </w:r>
    </w:p>
    <w:p w14:paraId="4799263D" w14:textId="77777777" w:rsidR="009D4411" w:rsidRPr="00155BBB" w:rsidRDefault="009D4411" w:rsidP="009D4411">
      <w:pPr>
        <w:ind w:left="709"/>
        <w:rPr>
          <w:color w:val="000000" w:themeColor="text1"/>
        </w:rPr>
      </w:pPr>
    </w:p>
    <w:tbl>
      <w:tblPr>
        <w:tblW w:w="9435" w:type="dxa"/>
        <w:tblCellMar>
          <w:left w:w="70" w:type="dxa"/>
          <w:right w:w="70" w:type="dxa"/>
        </w:tblCellMar>
        <w:tblLook w:val="04A0" w:firstRow="1" w:lastRow="0" w:firstColumn="1" w:lastColumn="0" w:noHBand="0" w:noVBand="1"/>
      </w:tblPr>
      <w:tblGrid>
        <w:gridCol w:w="6508"/>
        <w:gridCol w:w="1421"/>
        <w:gridCol w:w="1506"/>
      </w:tblGrid>
      <w:tr w:rsidR="00155BBB" w:rsidRPr="00155BBB" w14:paraId="59F89189" w14:textId="77777777" w:rsidTr="001B3C7B">
        <w:trPr>
          <w:trHeight w:val="234"/>
        </w:trPr>
        <w:tc>
          <w:tcPr>
            <w:tcW w:w="650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95CCFAB" w14:textId="77777777" w:rsidR="009D4411" w:rsidRPr="00155BBB" w:rsidRDefault="009D4411" w:rsidP="001B3C7B">
            <w:pPr>
              <w:spacing w:line="240" w:lineRule="auto"/>
              <w:rPr>
                <w:rFonts w:eastAsia="Times New Roman" w:cs="Arial"/>
                <w:color w:val="000000" w:themeColor="text1"/>
                <w:spacing w:val="0"/>
                <w:lang w:eastAsia="bg-BG"/>
              </w:rPr>
            </w:pPr>
            <w:r w:rsidRPr="00155BBB">
              <w:rPr>
                <w:rFonts w:eastAsia="Times New Roman" w:cs="Arial"/>
                <w:color w:val="000000" w:themeColor="text1"/>
                <w:spacing w:val="0"/>
                <w:lang w:eastAsia="bg-BG"/>
              </w:rPr>
              <w:t xml:space="preserve">Количество, </w:t>
            </w:r>
            <w:proofErr w:type="spellStart"/>
            <w:r w:rsidRPr="00155BBB">
              <w:rPr>
                <w:rFonts w:eastAsia="Times New Roman" w:cs="Arial"/>
                <w:color w:val="000000" w:themeColor="text1"/>
                <w:spacing w:val="0"/>
                <w:lang w:eastAsia="bg-BG"/>
              </w:rPr>
              <w:t>Qе</w:t>
            </w:r>
            <w:proofErr w:type="spellEnd"/>
          </w:p>
        </w:tc>
        <w:tc>
          <w:tcPr>
            <w:tcW w:w="1421" w:type="dxa"/>
            <w:tcBorders>
              <w:top w:val="single" w:sz="8" w:space="0" w:color="auto"/>
              <w:left w:val="nil"/>
              <w:bottom w:val="single" w:sz="4" w:space="0" w:color="auto"/>
              <w:right w:val="single" w:sz="4" w:space="0" w:color="auto"/>
            </w:tcBorders>
            <w:shd w:val="clear" w:color="auto" w:fill="auto"/>
            <w:noWrap/>
            <w:vAlign w:val="bottom"/>
            <w:hideMark/>
          </w:tcPr>
          <w:p w14:paraId="5897C755" w14:textId="77777777" w:rsidR="009D4411" w:rsidRPr="00155BBB" w:rsidRDefault="009D4411" w:rsidP="001B3C7B">
            <w:pPr>
              <w:spacing w:line="240" w:lineRule="auto"/>
              <w:rPr>
                <w:rFonts w:eastAsia="Times New Roman" w:cs="Arial"/>
                <w:color w:val="000000" w:themeColor="text1"/>
                <w:spacing w:val="0"/>
                <w:lang w:eastAsia="bg-BG"/>
              </w:rPr>
            </w:pPr>
            <w:r w:rsidRPr="00155BBB">
              <w:rPr>
                <w:rFonts w:eastAsia="Times New Roman" w:cs="Arial"/>
                <w:color w:val="000000" w:themeColor="text1"/>
                <w:spacing w:val="0"/>
                <w:lang w:eastAsia="bg-BG"/>
              </w:rPr>
              <w:t>t</w:t>
            </w:r>
          </w:p>
        </w:tc>
        <w:tc>
          <w:tcPr>
            <w:tcW w:w="1506" w:type="dxa"/>
            <w:tcBorders>
              <w:top w:val="single" w:sz="8" w:space="0" w:color="auto"/>
              <w:left w:val="nil"/>
              <w:bottom w:val="single" w:sz="4" w:space="0" w:color="auto"/>
              <w:right w:val="single" w:sz="8" w:space="0" w:color="auto"/>
            </w:tcBorders>
            <w:shd w:val="clear" w:color="auto" w:fill="auto"/>
            <w:noWrap/>
            <w:vAlign w:val="bottom"/>
            <w:hideMark/>
          </w:tcPr>
          <w:p w14:paraId="51C6FD84" w14:textId="381CADB4" w:rsidR="009D4411" w:rsidRPr="00155BBB" w:rsidRDefault="005928F0" w:rsidP="001B3C7B">
            <w:pPr>
              <w:spacing w:line="240" w:lineRule="auto"/>
              <w:jc w:val="right"/>
              <w:rPr>
                <w:rFonts w:eastAsia="Times New Roman" w:cs="Arial"/>
                <w:color w:val="000000" w:themeColor="text1"/>
                <w:spacing w:val="0"/>
                <w:lang w:val="en-US" w:eastAsia="bg-BG"/>
              </w:rPr>
            </w:pPr>
            <w:r>
              <w:rPr>
                <w:rFonts w:eastAsia="Times New Roman" w:cs="Arial"/>
                <w:color w:val="000000" w:themeColor="text1"/>
                <w:spacing w:val="0"/>
                <w:lang w:val="en-US" w:eastAsia="bg-BG"/>
              </w:rPr>
              <w:t xml:space="preserve">xxx </w:t>
            </w:r>
            <w:proofErr w:type="spellStart"/>
            <w:r>
              <w:rPr>
                <w:rFonts w:eastAsia="Times New Roman" w:cs="Arial"/>
                <w:color w:val="000000" w:themeColor="text1"/>
                <w:spacing w:val="0"/>
                <w:lang w:val="en-US" w:eastAsia="bg-BG"/>
              </w:rPr>
              <w:t>xxx</w:t>
            </w:r>
            <w:proofErr w:type="spellEnd"/>
          </w:p>
        </w:tc>
      </w:tr>
      <w:tr w:rsidR="00155BBB" w:rsidRPr="00155BBB" w14:paraId="2F8102A4" w14:textId="77777777" w:rsidTr="001B3C7B">
        <w:trPr>
          <w:trHeight w:val="234"/>
        </w:trPr>
        <w:tc>
          <w:tcPr>
            <w:tcW w:w="6508" w:type="dxa"/>
            <w:tcBorders>
              <w:top w:val="nil"/>
              <w:left w:val="single" w:sz="8" w:space="0" w:color="auto"/>
              <w:bottom w:val="single" w:sz="4" w:space="0" w:color="auto"/>
              <w:right w:val="single" w:sz="4" w:space="0" w:color="auto"/>
            </w:tcBorders>
            <w:shd w:val="clear" w:color="auto" w:fill="auto"/>
            <w:noWrap/>
            <w:vAlign w:val="bottom"/>
            <w:hideMark/>
          </w:tcPr>
          <w:p w14:paraId="2FF413C8" w14:textId="77777777" w:rsidR="009D4411" w:rsidRPr="00155BBB" w:rsidRDefault="009D4411" w:rsidP="001B3C7B">
            <w:pPr>
              <w:spacing w:line="240" w:lineRule="auto"/>
              <w:rPr>
                <w:rFonts w:eastAsia="Times New Roman" w:cs="Arial"/>
                <w:color w:val="000000" w:themeColor="text1"/>
                <w:spacing w:val="0"/>
                <w:lang w:eastAsia="bg-BG"/>
              </w:rPr>
            </w:pPr>
            <w:r w:rsidRPr="00155BBB">
              <w:rPr>
                <w:rFonts w:eastAsia="Times New Roman" w:cs="Arial"/>
                <w:color w:val="000000" w:themeColor="text1"/>
                <w:spacing w:val="0"/>
                <w:lang w:eastAsia="bg-BG"/>
              </w:rPr>
              <w:t xml:space="preserve">Прогнозна цена на въглеродни емисии , </w:t>
            </w:r>
            <w:proofErr w:type="spellStart"/>
            <w:r w:rsidRPr="00155BBB">
              <w:rPr>
                <w:rFonts w:eastAsia="Times New Roman" w:cs="Arial"/>
                <w:color w:val="000000" w:themeColor="text1"/>
                <w:spacing w:val="0"/>
                <w:lang w:eastAsia="bg-BG"/>
              </w:rPr>
              <w:t>Цпе</w:t>
            </w:r>
            <w:proofErr w:type="spellEnd"/>
          </w:p>
        </w:tc>
        <w:tc>
          <w:tcPr>
            <w:tcW w:w="1421" w:type="dxa"/>
            <w:tcBorders>
              <w:top w:val="nil"/>
              <w:left w:val="nil"/>
              <w:bottom w:val="single" w:sz="4" w:space="0" w:color="auto"/>
              <w:right w:val="single" w:sz="4" w:space="0" w:color="auto"/>
            </w:tcBorders>
            <w:shd w:val="clear" w:color="auto" w:fill="auto"/>
            <w:noWrap/>
            <w:vAlign w:val="bottom"/>
            <w:hideMark/>
          </w:tcPr>
          <w:p w14:paraId="41A79F6C" w14:textId="77777777" w:rsidR="009D4411" w:rsidRPr="00155BBB" w:rsidRDefault="009D4411" w:rsidP="001B3C7B">
            <w:pPr>
              <w:spacing w:line="240" w:lineRule="auto"/>
              <w:rPr>
                <w:rFonts w:eastAsia="Times New Roman" w:cs="Arial"/>
                <w:color w:val="000000" w:themeColor="text1"/>
                <w:spacing w:val="0"/>
                <w:lang w:eastAsia="bg-BG"/>
              </w:rPr>
            </w:pPr>
            <w:r w:rsidRPr="00155BBB">
              <w:rPr>
                <w:rFonts w:eastAsia="Times New Roman" w:cs="Arial"/>
                <w:color w:val="000000" w:themeColor="text1"/>
                <w:spacing w:val="0"/>
                <w:lang w:eastAsia="bg-BG"/>
              </w:rPr>
              <w:t>евро/t</w:t>
            </w:r>
          </w:p>
        </w:tc>
        <w:tc>
          <w:tcPr>
            <w:tcW w:w="1506" w:type="dxa"/>
            <w:tcBorders>
              <w:top w:val="nil"/>
              <w:left w:val="nil"/>
              <w:bottom w:val="single" w:sz="4" w:space="0" w:color="auto"/>
              <w:right w:val="single" w:sz="8" w:space="0" w:color="auto"/>
            </w:tcBorders>
            <w:shd w:val="clear" w:color="auto" w:fill="auto"/>
            <w:noWrap/>
            <w:vAlign w:val="bottom"/>
            <w:hideMark/>
          </w:tcPr>
          <w:p w14:paraId="569BBBD0" w14:textId="42678547" w:rsidR="009D4411" w:rsidRPr="00155BBB" w:rsidRDefault="005928F0" w:rsidP="001B3C7B">
            <w:pPr>
              <w:spacing w:line="240" w:lineRule="auto"/>
              <w:jc w:val="right"/>
              <w:rPr>
                <w:rFonts w:eastAsia="Times New Roman" w:cs="Arial"/>
                <w:color w:val="000000" w:themeColor="text1"/>
                <w:spacing w:val="0"/>
                <w:lang w:eastAsia="bg-BG"/>
              </w:rPr>
            </w:pPr>
            <w:proofErr w:type="spellStart"/>
            <w:r>
              <w:rPr>
                <w:rFonts w:eastAsia="Times New Roman" w:cs="Arial"/>
                <w:color w:val="000000" w:themeColor="text1"/>
                <w:spacing w:val="0"/>
                <w:lang w:val="en-US" w:eastAsia="bg-BG"/>
              </w:rPr>
              <w:t>xx.xx</w:t>
            </w:r>
            <w:proofErr w:type="spellEnd"/>
          </w:p>
        </w:tc>
      </w:tr>
      <w:tr w:rsidR="00155BBB" w:rsidRPr="00155BBB" w14:paraId="1EB136E5" w14:textId="77777777" w:rsidTr="001B3C7B">
        <w:trPr>
          <w:trHeight w:val="234"/>
        </w:trPr>
        <w:tc>
          <w:tcPr>
            <w:tcW w:w="6508" w:type="dxa"/>
            <w:tcBorders>
              <w:top w:val="nil"/>
              <w:left w:val="single" w:sz="8" w:space="0" w:color="auto"/>
              <w:bottom w:val="single" w:sz="4" w:space="0" w:color="auto"/>
              <w:right w:val="single" w:sz="4" w:space="0" w:color="auto"/>
            </w:tcBorders>
            <w:shd w:val="clear" w:color="auto" w:fill="auto"/>
            <w:noWrap/>
            <w:vAlign w:val="bottom"/>
            <w:hideMark/>
          </w:tcPr>
          <w:p w14:paraId="034F0C86" w14:textId="77777777" w:rsidR="009D4411" w:rsidRPr="00155BBB" w:rsidRDefault="009D4411" w:rsidP="001B3C7B">
            <w:pPr>
              <w:spacing w:line="240" w:lineRule="auto"/>
              <w:rPr>
                <w:rFonts w:eastAsia="Times New Roman" w:cs="Arial"/>
                <w:color w:val="000000" w:themeColor="text1"/>
                <w:spacing w:val="0"/>
                <w:lang w:eastAsia="bg-BG"/>
              </w:rPr>
            </w:pPr>
            <w:r w:rsidRPr="00155BBB">
              <w:rPr>
                <w:rFonts w:eastAsia="Times New Roman" w:cs="Arial"/>
                <w:color w:val="000000" w:themeColor="text1"/>
                <w:spacing w:val="0"/>
                <w:lang w:eastAsia="bg-BG"/>
              </w:rPr>
              <w:t xml:space="preserve">Отчетена цена на въглеродни емисии , </w:t>
            </w:r>
            <w:proofErr w:type="spellStart"/>
            <w:r w:rsidRPr="00155BBB">
              <w:rPr>
                <w:rFonts w:eastAsia="Times New Roman" w:cs="Arial"/>
                <w:color w:val="000000" w:themeColor="text1"/>
                <w:spacing w:val="0"/>
                <w:lang w:eastAsia="bg-BG"/>
              </w:rPr>
              <w:t>Цll</w:t>
            </w:r>
            <w:proofErr w:type="spellEnd"/>
          </w:p>
        </w:tc>
        <w:tc>
          <w:tcPr>
            <w:tcW w:w="1421" w:type="dxa"/>
            <w:tcBorders>
              <w:top w:val="nil"/>
              <w:left w:val="nil"/>
              <w:bottom w:val="single" w:sz="4" w:space="0" w:color="auto"/>
              <w:right w:val="single" w:sz="4" w:space="0" w:color="auto"/>
            </w:tcBorders>
            <w:shd w:val="clear" w:color="auto" w:fill="auto"/>
            <w:noWrap/>
            <w:vAlign w:val="bottom"/>
            <w:hideMark/>
          </w:tcPr>
          <w:p w14:paraId="0AA013F9" w14:textId="77777777" w:rsidR="009D4411" w:rsidRPr="00155BBB" w:rsidRDefault="009D4411" w:rsidP="001B3C7B">
            <w:pPr>
              <w:spacing w:line="240" w:lineRule="auto"/>
              <w:rPr>
                <w:rFonts w:eastAsia="Times New Roman" w:cs="Arial"/>
                <w:color w:val="000000" w:themeColor="text1"/>
                <w:spacing w:val="0"/>
                <w:lang w:eastAsia="bg-BG"/>
              </w:rPr>
            </w:pPr>
            <w:r w:rsidRPr="00155BBB">
              <w:rPr>
                <w:rFonts w:eastAsia="Times New Roman" w:cs="Arial"/>
                <w:color w:val="000000" w:themeColor="text1"/>
                <w:spacing w:val="0"/>
                <w:lang w:eastAsia="bg-BG"/>
              </w:rPr>
              <w:t>евро/t</w:t>
            </w:r>
          </w:p>
        </w:tc>
        <w:tc>
          <w:tcPr>
            <w:tcW w:w="1506" w:type="dxa"/>
            <w:tcBorders>
              <w:top w:val="nil"/>
              <w:left w:val="nil"/>
              <w:bottom w:val="single" w:sz="4" w:space="0" w:color="auto"/>
              <w:right w:val="single" w:sz="8" w:space="0" w:color="auto"/>
            </w:tcBorders>
            <w:shd w:val="clear" w:color="auto" w:fill="auto"/>
            <w:noWrap/>
            <w:vAlign w:val="bottom"/>
            <w:hideMark/>
          </w:tcPr>
          <w:p w14:paraId="3A2B0024" w14:textId="042CFFFB" w:rsidR="009D4411" w:rsidRPr="00155BBB" w:rsidRDefault="005928F0" w:rsidP="001B3C7B">
            <w:pPr>
              <w:spacing w:line="240" w:lineRule="auto"/>
              <w:jc w:val="right"/>
              <w:rPr>
                <w:rFonts w:eastAsia="Times New Roman" w:cs="Arial"/>
                <w:color w:val="000000" w:themeColor="text1"/>
                <w:spacing w:val="0"/>
                <w:lang w:val="en-US" w:eastAsia="bg-BG"/>
              </w:rPr>
            </w:pPr>
            <w:proofErr w:type="spellStart"/>
            <w:r>
              <w:rPr>
                <w:rFonts w:eastAsia="Times New Roman" w:cs="Arial"/>
                <w:color w:val="000000" w:themeColor="text1"/>
                <w:spacing w:val="0"/>
                <w:lang w:val="en-US" w:eastAsia="bg-BG"/>
              </w:rPr>
              <w:t>xx.xx</w:t>
            </w:r>
            <w:proofErr w:type="spellEnd"/>
          </w:p>
        </w:tc>
      </w:tr>
      <w:tr w:rsidR="00155BBB" w:rsidRPr="00155BBB" w14:paraId="42EE7C13" w14:textId="77777777" w:rsidTr="001B3C7B">
        <w:trPr>
          <w:trHeight w:val="289"/>
        </w:trPr>
        <w:tc>
          <w:tcPr>
            <w:tcW w:w="6508" w:type="dxa"/>
            <w:tcBorders>
              <w:top w:val="nil"/>
              <w:left w:val="single" w:sz="8" w:space="0" w:color="auto"/>
              <w:bottom w:val="single" w:sz="8" w:space="0" w:color="auto"/>
              <w:right w:val="single" w:sz="4" w:space="0" w:color="auto"/>
            </w:tcBorders>
            <w:shd w:val="clear" w:color="auto" w:fill="auto"/>
            <w:noWrap/>
            <w:vAlign w:val="bottom"/>
            <w:hideMark/>
          </w:tcPr>
          <w:p w14:paraId="0F93A0DF" w14:textId="77777777" w:rsidR="009D4411" w:rsidRPr="00155BBB" w:rsidRDefault="009D4411" w:rsidP="001B3C7B">
            <w:pPr>
              <w:spacing w:line="240" w:lineRule="auto"/>
              <w:rPr>
                <w:rFonts w:eastAsia="Times New Roman" w:cs="Arial"/>
                <w:color w:val="000000" w:themeColor="text1"/>
                <w:spacing w:val="0"/>
                <w:lang w:eastAsia="bg-BG"/>
              </w:rPr>
            </w:pPr>
            <w:r w:rsidRPr="00155BBB">
              <w:rPr>
                <w:rFonts w:eastAsia="Times New Roman" w:cs="Arial"/>
                <w:color w:val="000000" w:themeColor="text1"/>
                <w:spacing w:val="0"/>
                <w:lang w:eastAsia="bg-BG"/>
              </w:rPr>
              <w:t>надвзет/недовзет приход от въглеродни емисии</w:t>
            </w:r>
          </w:p>
        </w:tc>
        <w:tc>
          <w:tcPr>
            <w:tcW w:w="1421" w:type="dxa"/>
            <w:tcBorders>
              <w:top w:val="nil"/>
              <w:left w:val="nil"/>
              <w:bottom w:val="single" w:sz="8" w:space="0" w:color="auto"/>
              <w:right w:val="single" w:sz="4" w:space="0" w:color="auto"/>
            </w:tcBorders>
            <w:shd w:val="clear" w:color="auto" w:fill="auto"/>
            <w:noWrap/>
            <w:vAlign w:val="bottom"/>
            <w:hideMark/>
          </w:tcPr>
          <w:p w14:paraId="2D8F4EE6" w14:textId="77777777" w:rsidR="009D4411" w:rsidRPr="00155BBB" w:rsidRDefault="009D4411" w:rsidP="001B3C7B">
            <w:pPr>
              <w:spacing w:line="240" w:lineRule="auto"/>
              <w:rPr>
                <w:rFonts w:eastAsia="Times New Roman" w:cs="Arial"/>
                <w:color w:val="000000" w:themeColor="text1"/>
                <w:spacing w:val="0"/>
                <w:lang w:eastAsia="bg-BG"/>
              </w:rPr>
            </w:pPr>
            <w:r w:rsidRPr="00155BBB">
              <w:rPr>
                <w:rFonts w:eastAsia="Times New Roman" w:cs="Arial"/>
                <w:color w:val="000000" w:themeColor="text1"/>
                <w:spacing w:val="0"/>
                <w:lang w:eastAsia="bg-BG"/>
              </w:rPr>
              <w:t>хил. лв.</w:t>
            </w:r>
          </w:p>
        </w:tc>
        <w:tc>
          <w:tcPr>
            <w:tcW w:w="1506" w:type="dxa"/>
            <w:tcBorders>
              <w:top w:val="nil"/>
              <w:left w:val="nil"/>
              <w:bottom w:val="single" w:sz="8" w:space="0" w:color="auto"/>
              <w:right w:val="single" w:sz="8" w:space="0" w:color="auto"/>
            </w:tcBorders>
            <w:shd w:val="clear" w:color="auto" w:fill="auto"/>
            <w:noWrap/>
            <w:vAlign w:val="bottom"/>
            <w:hideMark/>
          </w:tcPr>
          <w:p w14:paraId="6DD296C2" w14:textId="7A81D558" w:rsidR="009D4411" w:rsidRPr="00155BBB" w:rsidRDefault="005928F0" w:rsidP="001B3C7B">
            <w:pPr>
              <w:spacing w:line="240" w:lineRule="auto"/>
              <w:jc w:val="right"/>
              <w:rPr>
                <w:rFonts w:eastAsia="Times New Roman" w:cs="Calibri"/>
                <w:color w:val="000000" w:themeColor="text1"/>
                <w:spacing w:val="0"/>
                <w:lang w:val="en-US" w:eastAsia="bg-BG"/>
              </w:rPr>
            </w:pPr>
            <w:r>
              <w:rPr>
                <w:rFonts w:eastAsia="Times New Roman" w:cs="Calibri"/>
                <w:color w:val="000000" w:themeColor="text1"/>
                <w:spacing w:val="0"/>
                <w:lang w:val="en-US" w:eastAsia="bg-BG"/>
              </w:rPr>
              <w:t>x xxx</w:t>
            </w:r>
          </w:p>
        </w:tc>
      </w:tr>
    </w:tbl>
    <w:p w14:paraId="4B08EB0D" w14:textId="5BDB2748" w:rsidR="00EA7652" w:rsidRPr="0057086A" w:rsidRDefault="00EA7652" w:rsidP="003565E4">
      <w:pPr>
        <w:ind w:left="709"/>
      </w:pPr>
    </w:p>
    <w:p w14:paraId="24ABB6E8" w14:textId="77777777" w:rsidR="00EA7652" w:rsidRPr="0057086A" w:rsidRDefault="00EA7652" w:rsidP="003565E4">
      <w:pPr>
        <w:ind w:left="709"/>
        <w:rPr>
          <w:lang w:val="en-US"/>
        </w:rPr>
      </w:pPr>
    </w:p>
    <w:p w14:paraId="0D297F78" w14:textId="3217BA01" w:rsidR="003565E4" w:rsidRPr="0057086A" w:rsidRDefault="003565E4" w:rsidP="00B27CF0">
      <w:pPr>
        <w:pStyle w:val="ListParagraph"/>
        <w:numPr>
          <w:ilvl w:val="0"/>
          <w:numId w:val="32"/>
        </w:numPr>
        <w:rPr>
          <w:rFonts w:ascii="Frutiger Next for EVN Light" w:hAnsi="Frutiger Next for EVN Light"/>
          <w:lang w:val="bg-BG"/>
        </w:rPr>
      </w:pPr>
      <w:r w:rsidRPr="0057086A">
        <w:rPr>
          <w:rFonts w:ascii="Frutiger Next for EVN Light" w:hAnsi="Frutiger Next for EVN Light"/>
          <w:lang w:val="bg-BG"/>
        </w:rPr>
        <w:t>Калкулация на Pt-1 - разлика между прогнозните и отчетните разходи, формиращи разходите за основно гориво – природен газ, и разходите за квоти за въглеродни емисии, в резултат на прогнозни количества и разходи, използвани за определяне на Ht-1, където t-1 е ценови период 01.07.202</w:t>
      </w:r>
      <w:r w:rsidR="00B93816">
        <w:rPr>
          <w:rFonts w:ascii="Frutiger Next for EVN Light" w:hAnsi="Frutiger Next for EVN Light"/>
          <w:lang w:val="en-US"/>
        </w:rPr>
        <w:t>2</w:t>
      </w:r>
      <w:r w:rsidRPr="0057086A">
        <w:rPr>
          <w:rFonts w:ascii="Frutiger Next for EVN Light" w:hAnsi="Frutiger Next for EVN Light"/>
          <w:lang w:val="bg-BG"/>
        </w:rPr>
        <w:t>-30.06.202</w:t>
      </w:r>
      <w:r w:rsidR="00B93816">
        <w:rPr>
          <w:rFonts w:ascii="Frutiger Next for EVN Light" w:hAnsi="Frutiger Next for EVN Light"/>
          <w:lang w:val="en-US"/>
        </w:rPr>
        <w:t>3</w:t>
      </w:r>
    </w:p>
    <w:p w14:paraId="32C4A278" w14:textId="58C97096" w:rsidR="00814207" w:rsidRPr="0057086A" w:rsidRDefault="00814207" w:rsidP="005C2C3A">
      <w:pPr>
        <w:ind w:left="709"/>
        <w:rPr>
          <w:color w:val="FF0000"/>
          <w:sz w:val="50"/>
          <w:szCs w:val="50"/>
        </w:rPr>
      </w:pPr>
    </w:p>
    <w:p w14:paraId="2889FC8D" w14:textId="5E63F82E" w:rsidR="00814207" w:rsidRPr="0057086A" w:rsidRDefault="00814207" w:rsidP="004F1221">
      <w:pPr>
        <w:pStyle w:val="ListParagraph"/>
        <w:numPr>
          <w:ilvl w:val="0"/>
          <w:numId w:val="34"/>
        </w:numPr>
        <w:rPr>
          <w:rFonts w:ascii="Frutiger Next for EVN Light" w:hAnsi="Frutiger Next for EVN Light"/>
          <w:sz w:val="19"/>
          <w:szCs w:val="19"/>
          <w:lang w:val="bg-BG"/>
        </w:rPr>
      </w:pPr>
      <w:r w:rsidRPr="0057086A">
        <w:rPr>
          <w:rFonts w:ascii="Frutiger Next for EVN Light" w:hAnsi="Frutiger Next for EVN Light"/>
          <w:sz w:val="19"/>
          <w:szCs w:val="19"/>
          <w:lang w:val="bg-BG"/>
        </w:rPr>
        <w:t>Калкулация на корекцията по природен газ за период 01.07.202</w:t>
      </w:r>
      <w:r w:rsidR="00B93816">
        <w:rPr>
          <w:rFonts w:ascii="Frutiger Next for EVN Light" w:hAnsi="Frutiger Next for EVN Light"/>
          <w:sz w:val="19"/>
          <w:szCs w:val="19"/>
          <w:lang w:val="en-US"/>
        </w:rPr>
        <w:t>2</w:t>
      </w:r>
      <w:r w:rsidR="009E77B7" w:rsidRPr="0057086A">
        <w:rPr>
          <w:rFonts w:ascii="Frutiger Next for EVN Light" w:hAnsi="Frutiger Next for EVN Light"/>
          <w:sz w:val="19"/>
          <w:szCs w:val="19"/>
          <w:lang w:val="bg-BG"/>
        </w:rPr>
        <w:t xml:space="preserve"> – 30</w:t>
      </w:r>
      <w:r w:rsidRPr="0057086A">
        <w:rPr>
          <w:rFonts w:ascii="Frutiger Next for EVN Light" w:hAnsi="Frutiger Next for EVN Light"/>
          <w:sz w:val="19"/>
          <w:szCs w:val="19"/>
          <w:lang w:val="bg-BG"/>
        </w:rPr>
        <w:t>.0</w:t>
      </w:r>
      <w:r w:rsidR="009E77B7" w:rsidRPr="0057086A">
        <w:rPr>
          <w:rFonts w:ascii="Frutiger Next for EVN Light" w:hAnsi="Frutiger Next for EVN Light"/>
          <w:sz w:val="19"/>
          <w:szCs w:val="19"/>
          <w:lang w:val="bg-BG"/>
        </w:rPr>
        <w:t>6</w:t>
      </w:r>
      <w:r w:rsidRPr="0057086A">
        <w:rPr>
          <w:rFonts w:ascii="Frutiger Next for EVN Light" w:hAnsi="Frutiger Next for EVN Light"/>
          <w:sz w:val="19"/>
          <w:szCs w:val="19"/>
          <w:lang w:val="bg-BG"/>
        </w:rPr>
        <w:t>.202</w:t>
      </w:r>
      <w:r w:rsidR="00B93816">
        <w:rPr>
          <w:rFonts w:ascii="Frutiger Next for EVN Light" w:hAnsi="Frutiger Next for EVN Light"/>
          <w:sz w:val="19"/>
          <w:szCs w:val="19"/>
          <w:lang w:val="en-US"/>
        </w:rPr>
        <w:t>3</w:t>
      </w:r>
    </w:p>
    <w:p w14:paraId="0C0BD166" w14:textId="65F2A3FD" w:rsidR="003565E4" w:rsidRPr="0057086A" w:rsidRDefault="003565E4" w:rsidP="003565E4">
      <w:pPr>
        <w:ind w:left="709"/>
      </w:pPr>
    </w:p>
    <w:p w14:paraId="3C6CEF60" w14:textId="6F8178EA" w:rsidR="003565E4" w:rsidRPr="00B93816" w:rsidRDefault="003565E4" w:rsidP="003565E4">
      <w:pPr>
        <w:ind w:left="709"/>
        <w:rPr>
          <w:lang w:val="en-US"/>
        </w:rPr>
      </w:pPr>
      <w:proofErr w:type="spellStart"/>
      <w:r w:rsidRPr="0057086A">
        <w:rPr>
          <w:lang w:val="en-US"/>
        </w:rPr>
        <w:t>Qg</w:t>
      </w:r>
      <w:proofErr w:type="spellEnd"/>
      <w:r w:rsidRPr="0057086A">
        <w:rPr>
          <w:lang w:val="en-US"/>
        </w:rPr>
        <w:t xml:space="preserve"> (202</w:t>
      </w:r>
      <w:r w:rsidR="00B93816">
        <w:rPr>
          <w:lang w:val="en-US"/>
        </w:rPr>
        <w:t>2</w:t>
      </w:r>
      <w:r w:rsidRPr="0057086A">
        <w:rPr>
          <w:lang w:val="en-US"/>
        </w:rPr>
        <w:t>/2</w:t>
      </w:r>
      <w:r w:rsidR="00B93816">
        <w:rPr>
          <w:lang w:val="en-US"/>
        </w:rPr>
        <w:t>3</w:t>
      </w:r>
      <w:r w:rsidRPr="0057086A">
        <w:rPr>
          <w:lang w:val="en-US"/>
        </w:rPr>
        <w:t xml:space="preserve">) – </w:t>
      </w:r>
      <w:r w:rsidR="00E35EB0">
        <w:rPr>
          <w:lang w:val="en-US"/>
        </w:rPr>
        <w:t xml:space="preserve">xxx </w:t>
      </w:r>
      <w:proofErr w:type="spellStart"/>
      <w:r w:rsidR="00E35EB0">
        <w:rPr>
          <w:lang w:val="en-US"/>
        </w:rPr>
        <w:t>xxx</w:t>
      </w:r>
      <w:proofErr w:type="spellEnd"/>
      <w:r w:rsidR="00B93816">
        <w:rPr>
          <w:lang w:val="en-US"/>
        </w:rPr>
        <w:t xml:space="preserve"> </w:t>
      </w:r>
      <w:r w:rsidRPr="0057086A">
        <w:rPr>
          <w:lang w:val="en-US"/>
        </w:rPr>
        <w:t xml:space="preserve">MWh – </w:t>
      </w:r>
      <w:proofErr w:type="spellStart"/>
      <w:r w:rsidRPr="0057086A">
        <w:rPr>
          <w:lang w:val="en-US"/>
        </w:rPr>
        <w:t>отчетеното</w:t>
      </w:r>
      <w:proofErr w:type="spellEnd"/>
      <w:r w:rsidRPr="0057086A">
        <w:rPr>
          <w:lang w:val="en-US"/>
        </w:rPr>
        <w:t xml:space="preserve"> </w:t>
      </w:r>
      <w:proofErr w:type="spellStart"/>
      <w:r w:rsidRPr="0057086A">
        <w:rPr>
          <w:lang w:val="en-US"/>
        </w:rPr>
        <w:t>количество</w:t>
      </w:r>
      <w:proofErr w:type="spellEnd"/>
      <w:r w:rsidRPr="0057086A">
        <w:rPr>
          <w:lang w:val="en-US"/>
        </w:rPr>
        <w:t xml:space="preserve"> </w:t>
      </w:r>
      <w:proofErr w:type="spellStart"/>
      <w:r w:rsidRPr="0057086A">
        <w:rPr>
          <w:lang w:val="en-US"/>
        </w:rPr>
        <w:t>природен</w:t>
      </w:r>
      <w:proofErr w:type="spellEnd"/>
      <w:r w:rsidRPr="0057086A">
        <w:rPr>
          <w:lang w:val="en-US"/>
        </w:rPr>
        <w:t xml:space="preserve"> </w:t>
      </w:r>
      <w:proofErr w:type="spellStart"/>
      <w:r w:rsidRPr="0057086A">
        <w:rPr>
          <w:lang w:val="en-US"/>
        </w:rPr>
        <w:t>газ</w:t>
      </w:r>
      <w:proofErr w:type="spellEnd"/>
      <w:r w:rsidRPr="0057086A">
        <w:rPr>
          <w:lang w:val="en-US"/>
        </w:rPr>
        <w:t xml:space="preserve"> е </w:t>
      </w:r>
      <w:proofErr w:type="spellStart"/>
      <w:r w:rsidRPr="0057086A">
        <w:rPr>
          <w:lang w:val="en-US"/>
        </w:rPr>
        <w:t>формирано</w:t>
      </w:r>
      <w:proofErr w:type="spellEnd"/>
      <w:r w:rsidRPr="0057086A">
        <w:rPr>
          <w:lang w:val="en-US"/>
        </w:rPr>
        <w:t xml:space="preserve"> </w:t>
      </w:r>
      <w:proofErr w:type="spellStart"/>
      <w:r w:rsidRPr="0057086A">
        <w:rPr>
          <w:lang w:val="en-US"/>
        </w:rPr>
        <w:t>на</w:t>
      </w:r>
      <w:proofErr w:type="spellEnd"/>
      <w:r w:rsidRPr="0057086A">
        <w:rPr>
          <w:lang w:val="en-US"/>
        </w:rPr>
        <w:t xml:space="preserve"> </w:t>
      </w:r>
      <w:proofErr w:type="spellStart"/>
      <w:r w:rsidRPr="0057086A">
        <w:rPr>
          <w:lang w:val="en-US"/>
        </w:rPr>
        <w:t>база</w:t>
      </w:r>
      <w:proofErr w:type="spellEnd"/>
      <w:r w:rsidRPr="0057086A">
        <w:rPr>
          <w:lang w:val="en-US"/>
        </w:rPr>
        <w:t xml:space="preserve"> </w:t>
      </w:r>
      <w:proofErr w:type="spellStart"/>
      <w:r w:rsidRPr="0057086A">
        <w:rPr>
          <w:lang w:val="en-US"/>
        </w:rPr>
        <w:t>отчет</w:t>
      </w:r>
      <w:proofErr w:type="spellEnd"/>
      <w:r w:rsidRPr="0057086A">
        <w:rPr>
          <w:lang w:val="en-US"/>
        </w:rPr>
        <w:t xml:space="preserve"> </w:t>
      </w:r>
      <w:proofErr w:type="spellStart"/>
      <w:r w:rsidRPr="0057086A">
        <w:rPr>
          <w:lang w:val="en-US"/>
        </w:rPr>
        <w:t>за</w:t>
      </w:r>
      <w:proofErr w:type="spellEnd"/>
      <w:r w:rsidRPr="0057086A">
        <w:rPr>
          <w:lang w:val="en-US"/>
        </w:rPr>
        <w:t xml:space="preserve"> </w:t>
      </w:r>
      <w:proofErr w:type="spellStart"/>
      <w:r w:rsidRPr="0057086A">
        <w:rPr>
          <w:lang w:val="en-US"/>
        </w:rPr>
        <w:t>периода</w:t>
      </w:r>
      <w:proofErr w:type="spellEnd"/>
      <w:r w:rsidRPr="0057086A">
        <w:rPr>
          <w:lang w:val="en-US"/>
        </w:rPr>
        <w:t xml:space="preserve"> 01.07.202</w:t>
      </w:r>
      <w:r w:rsidR="00B93816">
        <w:rPr>
          <w:lang w:val="en-US"/>
        </w:rPr>
        <w:t>3</w:t>
      </w:r>
      <w:r w:rsidRPr="0057086A">
        <w:rPr>
          <w:lang w:val="en-US"/>
        </w:rPr>
        <w:t xml:space="preserve"> – </w:t>
      </w:r>
      <w:r w:rsidR="00B93816">
        <w:rPr>
          <w:lang w:val="en-US"/>
        </w:rPr>
        <w:t>30.06</w:t>
      </w:r>
      <w:r w:rsidRPr="0057086A">
        <w:rPr>
          <w:lang w:val="en-US"/>
        </w:rPr>
        <w:t>.202</w:t>
      </w:r>
      <w:r w:rsidR="00B93816">
        <w:rPr>
          <w:lang w:val="en-US"/>
        </w:rPr>
        <w:t>4</w:t>
      </w:r>
    </w:p>
    <w:p w14:paraId="3A280DFE" w14:textId="1F54FA21" w:rsidR="003565E4" w:rsidRPr="0057086A" w:rsidRDefault="003565E4" w:rsidP="003565E4">
      <w:pPr>
        <w:ind w:left="709"/>
      </w:pPr>
      <w:proofErr w:type="spellStart"/>
      <w:r w:rsidRPr="0057086A">
        <w:t>Цпг</w:t>
      </w:r>
      <w:proofErr w:type="spellEnd"/>
      <w:r w:rsidRPr="0057086A">
        <w:rPr>
          <w:lang w:val="en-US"/>
        </w:rPr>
        <w:t>(202</w:t>
      </w:r>
      <w:r w:rsidR="00B93816">
        <w:rPr>
          <w:lang w:val="en-US"/>
        </w:rPr>
        <w:t>2</w:t>
      </w:r>
      <w:r w:rsidRPr="0057086A">
        <w:rPr>
          <w:lang w:val="en-US"/>
        </w:rPr>
        <w:t>/2</w:t>
      </w:r>
      <w:r w:rsidR="00B93816">
        <w:rPr>
          <w:lang w:val="en-US"/>
        </w:rPr>
        <w:t>3</w:t>
      </w:r>
      <w:r w:rsidRPr="0057086A">
        <w:rPr>
          <w:lang w:val="en-US"/>
        </w:rPr>
        <w:t xml:space="preserve">) </w:t>
      </w:r>
      <w:r w:rsidRPr="0057086A">
        <w:t xml:space="preserve"> –</w:t>
      </w:r>
      <w:proofErr w:type="spellStart"/>
      <w:r w:rsidR="00E35EB0">
        <w:rPr>
          <w:lang w:val="en-US"/>
        </w:rPr>
        <w:t>xxx</w:t>
      </w:r>
      <w:r w:rsidR="00B93816">
        <w:rPr>
          <w:lang w:val="en-US"/>
        </w:rPr>
        <w:t>.</w:t>
      </w:r>
      <w:r w:rsidR="00E35EB0">
        <w:rPr>
          <w:lang w:val="en-US"/>
        </w:rPr>
        <w:t>xx</w:t>
      </w:r>
      <w:proofErr w:type="spellEnd"/>
      <w:r w:rsidRPr="0057086A">
        <w:t xml:space="preserve"> лв./MWh </w:t>
      </w:r>
    </w:p>
    <w:p w14:paraId="2DAD9421" w14:textId="054F38F1" w:rsidR="003565E4" w:rsidRPr="0057086A" w:rsidRDefault="003565E4" w:rsidP="003565E4">
      <w:pPr>
        <w:ind w:left="709"/>
      </w:pPr>
      <w:r w:rsidRPr="0057086A">
        <w:t>ЦI</w:t>
      </w:r>
      <w:r w:rsidR="007A5A0D" w:rsidRPr="0057086A">
        <w:rPr>
          <w:lang w:val="en-US"/>
        </w:rPr>
        <w:t>(202</w:t>
      </w:r>
      <w:r w:rsidR="00B93816">
        <w:rPr>
          <w:lang w:val="en-US"/>
        </w:rPr>
        <w:t>2</w:t>
      </w:r>
      <w:r w:rsidR="007A5A0D" w:rsidRPr="0057086A">
        <w:rPr>
          <w:lang w:val="en-US"/>
        </w:rPr>
        <w:t>/2</w:t>
      </w:r>
      <w:r w:rsidR="00B93816">
        <w:rPr>
          <w:lang w:val="en-US"/>
        </w:rPr>
        <w:t>3</w:t>
      </w:r>
      <w:r w:rsidR="007A5A0D" w:rsidRPr="0057086A">
        <w:rPr>
          <w:lang w:val="en-US"/>
        </w:rPr>
        <w:t xml:space="preserve">) </w:t>
      </w:r>
      <w:r w:rsidRPr="0057086A">
        <w:t xml:space="preserve"> – </w:t>
      </w:r>
      <w:proofErr w:type="spellStart"/>
      <w:r w:rsidR="00E35EB0">
        <w:rPr>
          <w:lang w:val="en-US"/>
        </w:rPr>
        <w:t>xxx</w:t>
      </w:r>
      <w:r w:rsidR="00B93816">
        <w:rPr>
          <w:lang w:val="en-US"/>
        </w:rPr>
        <w:t>.</w:t>
      </w:r>
      <w:r w:rsidR="00E35EB0">
        <w:rPr>
          <w:lang w:val="en-US"/>
        </w:rPr>
        <w:t>xx</w:t>
      </w:r>
      <w:proofErr w:type="spellEnd"/>
      <w:r w:rsidRPr="0057086A">
        <w:t xml:space="preserve"> лв./MWh – изчислена е въз основа на отчетените </w:t>
      </w:r>
      <w:proofErr w:type="spellStart"/>
      <w:r w:rsidRPr="0057086A">
        <w:t>помесечни</w:t>
      </w:r>
      <w:proofErr w:type="spellEnd"/>
      <w:r w:rsidRPr="0057086A">
        <w:t xml:space="preserve"> количества потребен природен газ и постигнатата помесечна цена, като среднопретеглена стойност, като са спазени изискванията на чл. 8, ал. 11 от НРЦТЕ в случай, че постигнатата помесечна цена на природния газ е по-ниска от утвърдената от комисията цена за съответния месец, по която общественият доставчик продава природния газ на лице, на което е издадена лицензия за производство и пренос на топлинна енергия (</w:t>
      </w:r>
      <w:proofErr w:type="spellStart"/>
      <w:r w:rsidRPr="0057086A">
        <w:t>Цбг</w:t>
      </w:r>
      <w:proofErr w:type="spellEnd"/>
      <w:r w:rsidRPr="0057086A">
        <w:t>), за изчисляването на годишната индивидуална цена за регулаторния/ценовия период се използва цена (</w:t>
      </w:r>
      <w:proofErr w:type="spellStart"/>
      <w:r w:rsidRPr="0057086A">
        <w:t>ЦпI</w:t>
      </w:r>
      <w:proofErr w:type="spellEnd"/>
      <w:r w:rsidRPr="0057086A">
        <w:t>), изчислена по формула:</w:t>
      </w:r>
    </w:p>
    <w:p w14:paraId="77187B12" w14:textId="567D48F7" w:rsidR="003565E4" w:rsidRPr="0057086A" w:rsidRDefault="003565E4" w:rsidP="003565E4">
      <w:pPr>
        <w:ind w:left="709"/>
      </w:pPr>
      <w:r w:rsidRPr="0057086A">
        <w:t xml:space="preserve"> </w:t>
      </w:r>
      <w:proofErr w:type="spellStart"/>
      <w:r w:rsidRPr="0057086A">
        <w:t>ЦпI</w:t>
      </w:r>
      <w:proofErr w:type="spellEnd"/>
      <w:r w:rsidRPr="0057086A">
        <w:t xml:space="preserve"> = 0,5*(</w:t>
      </w:r>
      <w:proofErr w:type="spellStart"/>
      <w:r w:rsidRPr="0057086A">
        <w:t>Цбг</w:t>
      </w:r>
      <w:proofErr w:type="spellEnd"/>
      <w:r w:rsidRPr="0057086A">
        <w:t xml:space="preserve"> + </w:t>
      </w:r>
      <w:proofErr w:type="spellStart"/>
      <w:r w:rsidRPr="0057086A">
        <w:t>Цп</w:t>
      </w:r>
      <w:proofErr w:type="spellEnd"/>
      <w:r w:rsidRPr="0057086A">
        <w:t>).</w:t>
      </w:r>
    </w:p>
    <w:p w14:paraId="7C80BF5A" w14:textId="2F3C34BD" w:rsidR="00835004" w:rsidRPr="0057086A" w:rsidRDefault="00835004" w:rsidP="002119D5"/>
    <w:tbl>
      <w:tblPr>
        <w:tblW w:w="5000" w:type="pct"/>
        <w:tblCellMar>
          <w:left w:w="70" w:type="dxa"/>
          <w:right w:w="70" w:type="dxa"/>
        </w:tblCellMar>
        <w:tblLook w:val="04A0" w:firstRow="1" w:lastRow="0" w:firstColumn="1" w:lastColumn="0" w:noHBand="0" w:noVBand="1"/>
      </w:tblPr>
      <w:tblGrid>
        <w:gridCol w:w="2082"/>
        <w:gridCol w:w="1344"/>
        <w:gridCol w:w="1192"/>
        <w:gridCol w:w="1044"/>
        <w:gridCol w:w="1044"/>
        <w:gridCol w:w="1641"/>
        <w:gridCol w:w="1281"/>
      </w:tblGrid>
      <w:tr w:rsidR="00A01AC3" w:rsidRPr="0057086A" w14:paraId="02022364" w14:textId="77777777" w:rsidTr="00FE012B">
        <w:trPr>
          <w:trHeight w:val="221"/>
        </w:trPr>
        <w:tc>
          <w:tcPr>
            <w:tcW w:w="1081" w:type="pct"/>
            <w:tcBorders>
              <w:top w:val="single" w:sz="4" w:space="0" w:color="000000"/>
              <w:left w:val="single" w:sz="4" w:space="0" w:color="000000"/>
              <w:bottom w:val="single" w:sz="4" w:space="0" w:color="000000"/>
              <w:right w:val="nil"/>
            </w:tcBorders>
            <w:shd w:val="clear" w:color="auto" w:fill="auto"/>
            <w:hideMark/>
          </w:tcPr>
          <w:p w14:paraId="46699319" w14:textId="77777777" w:rsidR="00A01AC3" w:rsidRPr="0057086A" w:rsidRDefault="00A01AC3" w:rsidP="00DF753A">
            <w:pPr>
              <w:spacing w:line="240" w:lineRule="exact"/>
              <w:jc w:val="both"/>
              <w:rPr>
                <w:rFonts w:cs="Arial"/>
                <w:bCs/>
              </w:rPr>
            </w:pPr>
            <w:r w:rsidRPr="0057086A">
              <w:rPr>
                <w:rFonts w:cs="Arial"/>
                <w:bCs/>
              </w:rPr>
              <w:t> </w:t>
            </w:r>
          </w:p>
        </w:tc>
        <w:tc>
          <w:tcPr>
            <w:tcW w:w="698" w:type="pct"/>
            <w:tcBorders>
              <w:top w:val="single" w:sz="4" w:space="0" w:color="000000"/>
              <w:left w:val="single" w:sz="4" w:space="0" w:color="000000"/>
              <w:bottom w:val="single" w:sz="4" w:space="0" w:color="000000"/>
              <w:right w:val="nil"/>
            </w:tcBorders>
            <w:shd w:val="clear" w:color="auto" w:fill="auto"/>
            <w:hideMark/>
          </w:tcPr>
          <w:p w14:paraId="5B3CEEFC" w14:textId="77777777" w:rsidR="00A01AC3" w:rsidRPr="0057086A" w:rsidRDefault="00A01AC3" w:rsidP="00DF753A">
            <w:pPr>
              <w:spacing w:line="240" w:lineRule="exact"/>
              <w:jc w:val="both"/>
              <w:rPr>
                <w:rFonts w:cs="Arial"/>
                <w:bCs/>
              </w:rPr>
            </w:pPr>
            <w:r w:rsidRPr="0057086A">
              <w:rPr>
                <w:rFonts w:cs="Arial"/>
                <w:bCs/>
              </w:rPr>
              <w:t>месец</w:t>
            </w:r>
          </w:p>
        </w:tc>
        <w:tc>
          <w:tcPr>
            <w:tcW w:w="619" w:type="pct"/>
            <w:tcBorders>
              <w:top w:val="single" w:sz="4" w:space="0" w:color="000000"/>
              <w:left w:val="single" w:sz="4" w:space="0" w:color="000000"/>
              <w:bottom w:val="single" w:sz="4" w:space="0" w:color="000000"/>
              <w:right w:val="nil"/>
            </w:tcBorders>
            <w:shd w:val="clear" w:color="auto" w:fill="auto"/>
            <w:hideMark/>
          </w:tcPr>
          <w:p w14:paraId="4BA92FA2" w14:textId="34CC2387" w:rsidR="00A01AC3" w:rsidRPr="00B93816" w:rsidRDefault="00A01AC3" w:rsidP="00DF753A">
            <w:pPr>
              <w:spacing w:line="240" w:lineRule="exact"/>
              <w:jc w:val="both"/>
              <w:rPr>
                <w:rFonts w:cs="Arial"/>
                <w:bCs/>
                <w:lang w:val="en-US"/>
              </w:rPr>
            </w:pPr>
            <w:r w:rsidRPr="0057086A">
              <w:rPr>
                <w:rFonts w:cs="Arial"/>
                <w:bCs/>
              </w:rPr>
              <w:t>07/202</w:t>
            </w:r>
            <w:r w:rsidR="00B93816">
              <w:rPr>
                <w:rFonts w:cs="Arial"/>
                <w:bCs/>
                <w:lang w:val="en-US"/>
              </w:rPr>
              <w:t>2</w:t>
            </w:r>
          </w:p>
        </w:tc>
        <w:tc>
          <w:tcPr>
            <w:tcW w:w="542" w:type="pct"/>
            <w:tcBorders>
              <w:top w:val="single" w:sz="4" w:space="0" w:color="000000"/>
              <w:left w:val="single" w:sz="4" w:space="0" w:color="000000"/>
              <w:bottom w:val="single" w:sz="4" w:space="0" w:color="000000"/>
              <w:right w:val="nil"/>
            </w:tcBorders>
            <w:shd w:val="clear" w:color="auto" w:fill="auto"/>
            <w:hideMark/>
          </w:tcPr>
          <w:p w14:paraId="34953DE2" w14:textId="22A8F88C" w:rsidR="00A01AC3" w:rsidRPr="00B93816" w:rsidRDefault="00A01AC3" w:rsidP="00DF753A">
            <w:pPr>
              <w:spacing w:line="240" w:lineRule="exact"/>
              <w:jc w:val="both"/>
              <w:rPr>
                <w:rFonts w:cs="Arial"/>
                <w:bCs/>
                <w:lang w:val="en-US"/>
              </w:rPr>
            </w:pPr>
            <w:r w:rsidRPr="0057086A">
              <w:rPr>
                <w:rFonts w:cs="Arial"/>
                <w:bCs/>
              </w:rPr>
              <w:t>08/202</w:t>
            </w:r>
            <w:r w:rsidR="00B93816">
              <w:rPr>
                <w:rFonts w:cs="Arial"/>
                <w:bCs/>
                <w:lang w:val="en-US"/>
              </w:rPr>
              <w:t>2</w:t>
            </w:r>
          </w:p>
        </w:tc>
        <w:tc>
          <w:tcPr>
            <w:tcW w:w="542" w:type="pct"/>
            <w:tcBorders>
              <w:top w:val="single" w:sz="4" w:space="0" w:color="000000"/>
              <w:left w:val="single" w:sz="4" w:space="0" w:color="000000"/>
              <w:bottom w:val="single" w:sz="4" w:space="0" w:color="000000"/>
              <w:right w:val="nil"/>
            </w:tcBorders>
            <w:shd w:val="clear" w:color="auto" w:fill="auto"/>
            <w:hideMark/>
          </w:tcPr>
          <w:p w14:paraId="5C73CD62" w14:textId="77DD9584" w:rsidR="00A01AC3" w:rsidRPr="00B93816" w:rsidRDefault="00A01AC3" w:rsidP="00DF753A">
            <w:pPr>
              <w:spacing w:line="240" w:lineRule="exact"/>
              <w:jc w:val="both"/>
              <w:rPr>
                <w:rFonts w:cs="Arial"/>
                <w:bCs/>
                <w:lang w:val="en-US"/>
              </w:rPr>
            </w:pPr>
            <w:r w:rsidRPr="0057086A">
              <w:rPr>
                <w:rFonts w:cs="Arial"/>
                <w:bCs/>
              </w:rPr>
              <w:t>09/202</w:t>
            </w:r>
            <w:r w:rsidR="00B93816">
              <w:rPr>
                <w:rFonts w:cs="Arial"/>
                <w:bCs/>
                <w:lang w:val="en-US"/>
              </w:rPr>
              <w:t>2</w:t>
            </w:r>
          </w:p>
        </w:tc>
        <w:tc>
          <w:tcPr>
            <w:tcW w:w="852" w:type="pct"/>
            <w:tcBorders>
              <w:top w:val="single" w:sz="4" w:space="0" w:color="000000"/>
              <w:left w:val="single" w:sz="4" w:space="0" w:color="000000"/>
              <w:bottom w:val="single" w:sz="4" w:space="0" w:color="000000"/>
              <w:right w:val="nil"/>
            </w:tcBorders>
            <w:shd w:val="clear" w:color="auto" w:fill="auto"/>
            <w:hideMark/>
          </w:tcPr>
          <w:p w14:paraId="619B10FA" w14:textId="34474274" w:rsidR="00A01AC3" w:rsidRPr="00B93816" w:rsidRDefault="00A01AC3" w:rsidP="00DF753A">
            <w:pPr>
              <w:spacing w:line="240" w:lineRule="exact"/>
              <w:jc w:val="both"/>
              <w:rPr>
                <w:rFonts w:cs="Arial"/>
                <w:bCs/>
                <w:lang w:val="en-US"/>
              </w:rPr>
            </w:pPr>
            <w:r w:rsidRPr="0057086A">
              <w:rPr>
                <w:rFonts w:cs="Arial"/>
                <w:bCs/>
              </w:rPr>
              <w:t>10/202</w:t>
            </w:r>
            <w:r w:rsidR="00B93816">
              <w:rPr>
                <w:rFonts w:cs="Arial"/>
                <w:bCs/>
                <w:lang w:val="en-US"/>
              </w:rPr>
              <w:t>2</w:t>
            </w:r>
          </w:p>
        </w:tc>
        <w:tc>
          <w:tcPr>
            <w:tcW w:w="665" w:type="pct"/>
            <w:tcBorders>
              <w:top w:val="single" w:sz="4" w:space="0" w:color="000000"/>
              <w:left w:val="single" w:sz="4" w:space="0" w:color="000000"/>
              <w:bottom w:val="single" w:sz="4" w:space="0" w:color="000000"/>
              <w:right w:val="single" w:sz="4" w:space="0" w:color="auto"/>
            </w:tcBorders>
            <w:shd w:val="clear" w:color="auto" w:fill="auto"/>
            <w:hideMark/>
          </w:tcPr>
          <w:p w14:paraId="14E721A3" w14:textId="543B76C8" w:rsidR="00A01AC3" w:rsidRPr="00B93816" w:rsidRDefault="00A01AC3" w:rsidP="00DF753A">
            <w:pPr>
              <w:spacing w:line="240" w:lineRule="exact"/>
              <w:jc w:val="both"/>
              <w:rPr>
                <w:rFonts w:cs="Arial"/>
                <w:bCs/>
                <w:lang w:val="en-US"/>
              </w:rPr>
            </w:pPr>
            <w:r w:rsidRPr="0057086A">
              <w:rPr>
                <w:rFonts w:cs="Arial"/>
                <w:bCs/>
              </w:rPr>
              <w:t>11/202</w:t>
            </w:r>
            <w:r w:rsidR="00B93816">
              <w:rPr>
                <w:rFonts w:cs="Arial"/>
                <w:bCs/>
                <w:lang w:val="en-US"/>
              </w:rPr>
              <w:t>2</w:t>
            </w:r>
          </w:p>
        </w:tc>
      </w:tr>
      <w:tr w:rsidR="00E35EB0" w:rsidRPr="0057086A" w14:paraId="4A2C3DA7" w14:textId="77777777" w:rsidTr="00FE012B">
        <w:trPr>
          <w:trHeight w:val="221"/>
        </w:trPr>
        <w:tc>
          <w:tcPr>
            <w:tcW w:w="1081" w:type="pct"/>
            <w:tcBorders>
              <w:top w:val="single" w:sz="4" w:space="0" w:color="000000"/>
              <w:left w:val="single" w:sz="4" w:space="0" w:color="000000"/>
              <w:bottom w:val="single" w:sz="4" w:space="0" w:color="000000"/>
              <w:right w:val="nil"/>
            </w:tcBorders>
            <w:shd w:val="clear" w:color="auto" w:fill="auto"/>
            <w:hideMark/>
          </w:tcPr>
          <w:p w14:paraId="27145725" w14:textId="77777777" w:rsidR="00E35EB0" w:rsidRPr="0057086A" w:rsidRDefault="00E35EB0" w:rsidP="00E35EB0">
            <w:pPr>
              <w:spacing w:line="240" w:lineRule="exact"/>
              <w:jc w:val="both"/>
              <w:rPr>
                <w:rFonts w:cs="Arial"/>
                <w:bCs/>
              </w:rPr>
            </w:pPr>
            <w:proofErr w:type="spellStart"/>
            <w:r w:rsidRPr="0057086A">
              <w:rPr>
                <w:rFonts w:cs="Arial"/>
                <w:b/>
              </w:rPr>
              <w:t>Qg</w:t>
            </w:r>
            <w:proofErr w:type="spellEnd"/>
          </w:p>
        </w:tc>
        <w:tc>
          <w:tcPr>
            <w:tcW w:w="698" w:type="pct"/>
            <w:tcBorders>
              <w:top w:val="single" w:sz="4" w:space="0" w:color="000000"/>
              <w:left w:val="single" w:sz="4" w:space="0" w:color="000000"/>
              <w:bottom w:val="single" w:sz="4" w:space="0" w:color="000000"/>
              <w:right w:val="nil"/>
            </w:tcBorders>
            <w:shd w:val="clear" w:color="auto" w:fill="auto"/>
            <w:hideMark/>
          </w:tcPr>
          <w:p w14:paraId="525FF98A" w14:textId="77777777" w:rsidR="00E35EB0" w:rsidRPr="0057086A" w:rsidRDefault="00E35EB0" w:rsidP="00E35EB0">
            <w:pPr>
              <w:spacing w:line="240" w:lineRule="exact"/>
              <w:jc w:val="both"/>
              <w:rPr>
                <w:rFonts w:cs="Arial"/>
                <w:bCs/>
              </w:rPr>
            </w:pPr>
            <w:r w:rsidRPr="0057086A">
              <w:rPr>
                <w:rFonts w:cs="Arial"/>
                <w:bCs/>
              </w:rPr>
              <w:t>MWh</w:t>
            </w:r>
          </w:p>
        </w:tc>
        <w:tc>
          <w:tcPr>
            <w:tcW w:w="619" w:type="pct"/>
            <w:tcBorders>
              <w:top w:val="single" w:sz="4" w:space="0" w:color="000000"/>
              <w:left w:val="single" w:sz="4" w:space="0" w:color="000000"/>
              <w:bottom w:val="single" w:sz="4" w:space="0" w:color="000000"/>
              <w:right w:val="nil"/>
            </w:tcBorders>
            <w:shd w:val="clear" w:color="auto" w:fill="auto"/>
            <w:hideMark/>
          </w:tcPr>
          <w:p w14:paraId="46F4FE78" w14:textId="7A9E29C1" w:rsidR="00E35EB0" w:rsidRPr="0057086A" w:rsidRDefault="00E35EB0" w:rsidP="00E35EB0">
            <w:pPr>
              <w:spacing w:line="240" w:lineRule="exact"/>
              <w:jc w:val="both"/>
              <w:rPr>
                <w:rFonts w:cs="Arial"/>
                <w:bCs/>
              </w:rPr>
            </w:pPr>
            <w:r w:rsidRPr="009B4FEF">
              <w:t>xx xxx</w:t>
            </w:r>
          </w:p>
        </w:tc>
        <w:tc>
          <w:tcPr>
            <w:tcW w:w="542" w:type="pct"/>
            <w:tcBorders>
              <w:top w:val="single" w:sz="4" w:space="0" w:color="000000"/>
              <w:left w:val="single" w:sz="4" w:space="0" w:color="000000"/>
              <w:bottom w:val="single" w:sz="4" w:space="0" w:color="000000"/>
              <w:right w:val="nil"/>
            </w:tcBorders>
            <w:shd w:val="clear" w:color="auto" w:fill="auto"/>
            <w:hideMark/>
          </w:tcPr>
          <w:p w14:paraId="3FD32B8B" w14:textId="5025CC55" w:rsidR="00E35EB0" w:rsidRPr="0057086A" w:rsidRDefault="00E35EB0" w:rsidP="00E35EB0">
            <w:pPr>
              <w:spacing w:line="240" w:lineRule="exact"/>
              <w:jc w:val="both"/>
              <w:rPr>
                <w:rFonts w:cs="Arial"/>
                <w:bCs/>
              </w:rPr>
            </w:pPr>
            <w:r w:rsidRPr="009B4FEF">
              <w:t>xx xxx</w:t>
            </w:r>
          </w:p>
        </w:tc>
        <w:tc>
          <w:tcPr>
            <w:tcW w:w="542" w:type="pct"/>
            <w:tcBorders>
              <w:top w:val="single" w:sz="4" w:space="0" w:color="000000"/>
              <w:left w:val="single" w:sz="4" w:space="0" w:color="000000"/>
              <w:bottom w:val="single" w:sz="4" w:space="0" w:color="000000"/>
              <w:right w:val="nil"/>
            </w:tcBorders>
            <w:shd w:val="clear" w:color="auto" w:fill="auto"/>
            <w:hideMark/>
          </w:tcPr>
          <w:p w14:paraId="233A4731" w14:textId="4A17E1F8" w:rsidR="00E35EB0" w:rsidRPr="0057086A" w:rsidRDefault="00E35EB0" w:rsidP="00E35EB0">
            <w:pPr>
              <w:spacing w:line="240" w:lineRule="exact"/>
              <w:jc w:val="both"/>
              <w:rPr>
                <w:rFonts w:cs="Arial"/>
                <w:bCs/>
              </w:rPr>
            </w:pPr>
            <w:r w:rsidRPr="009B4FEF">
              <w:t>xx xxx</w:t>
            </w:r>
          </w:p>
        </w:tc>
        <w:tc>
          <w:tcPr>
            <w:tcW w:w="852" w:type="pct"/>
            <w:tcBorders>
              <w:top w:val="single" w:sz="4" w:space="0" w:color="000000"/>
              <w:left w:val="single" w:sz="4" w:space="0" w:color="000000"/>
              <w:bottom w:val="single" w:sz="4" w:space="0" w:color="000000"/>
              <w:right w:val="nil"/>
            </w:tcBorders>
            <w:shd w:val="clear" w:color="auto" w:fill="auto"/>
            <w:hideMark/>
          </w:tcPr>
          <w:p w14:paraId="0DC9F886" w14:textId="18EEDCDD" w:rsidR="00E35EB0" w:rsidRPr="0057086A" w:rsidRDefault="00E35EB0" w:rsidP="00E35EB0">
            <w:pPr>
              <w:spacing w:line="240" w:lineRule="exact"/>
              <w:jc w:val="both"/>
              <w:rPr>
                <w:rFonts w:cs="Arial"/>
                <w:bCs/>
              </w:rPr>
            </w:pPr>
            <w:r w:rsidRPr="009B4FEF">
              <w:t>xx xxx</w:t>
            </w:r>
          </w:p>
        </w:tc>
        <w:tc>
          <w:tcPr>
            <w:tcW w:w="665" w:type="pct"/>
            <w:tcBorders>
              <w:top w:val="single" w:sz="4" w:space="0" w:color="000000"/>
              <w:left w:val="single" w:sz="4" w:space="0" w:color="000000"/>
              <w:bottom w:val="single" w:sz="4" w:space="0" w:color="000000"/>
              <w:right w:val="single" w:sz="4" w:space="0" w:color="auto"/>
            </w:tcBorders>
            <w:shd w:val="clear" w:color="auto" w:fill="auto"/>
            <w:hideMark/>
          </w:tcPr>
          <w:p w14:paraId="184FD85E" w14:textId="5BFBE346" w:rsidR="00E35EB0" w:rsidRPr="0057086A" w:rsidRDefault="00E35EB0" w:rsidP="00E35EB0">
            <w:pPr>
              <w:spacing w:line="240" w:lineRule="exact"/>
              <w:jc w:val="both"/>
              <w:rPr>
                <w:rFonts w:cs="Arial"/>
                <w:bCs/>
              </w:rPr>
            </w:pPr>
            <w:r w:rsidRPr="009B4FEF">
              <w:t>xx xxx</w:t>
            </w:r>
          </w:p>
        </w:tc>
      </w:tr>
      <w:tr w:rsidR="00E35EB0" w:rsidRPr="0057086A" w14:paraId="093F65CB" w14:textId="77777777" w:rsidTr="00FE012B">
        <w:trPr>
          <w:trHeight w:val="221"/>
        </w:trPr>
        <w:tc>
          <w:tcPr>
            <w:tcW w:w="1081" w:type="pct"/>
            <w:tcBorders>
              <w:top w:val="nil"/>
              <w:left w:val="single" w:sz="4" w:space="0" w:color="000000"/>
              <w:bottom w:val="single" w:sz="4" w:space="0" w:color="000000"/>
              <w:right w:val="nil"/>
            </w:tcBorders>
            <w:shd w:val="clear" w:color="auto" w:fill="auto"/>
            <w:hideMark/>
          </w:tcPr>
          <w:p w14:paraId="1E460FA7" w14:textId="77777777" w:rsidR="00E35EB0" w:rsidRPr="0057086A" w:rsidRDefault="00E35EB0" w:rsidP="00E35EB0">
            <w:pPr>
              <w:spacing w:line="240" w:lineRule="exact"/>
              <w:jc w:val="both"/>
              <w:rPr>
                <w:rFonts w:cs="Arial"/>
                <w:b/>
              </w:rPr>
            </w:pPr>
            <w:proofErr w:type="spellStart"/>
            <w:r w:rsidRPr="0057086A">
              <w:rPr>
                <w:rFonts w:cs="Arial"/>
                <w:b/>
              </w:rPr>
              <w:t>Цпг</w:t>
            </w:r>
            <w:proofErr w:type="spellEnd"/>
          </w:p>
        </w:tc>
        <w:tc>
          <w:tcPr>
            <w:tcW w:w="698" w:type="pct"/>
            <w:tcBorders>
              <w:top w:val="nil"/>
              <w:left w:val="single" w:sz="4" w:space="0" w:color="000000"/>
              <w:bottom w:val="single" w:sz="4" w:space="0" w:color="000000"/>
              <w:right w:val="nil"/>
            </w:tcBorders>
            <w:shd w:val="clear" w:color="auto" w:fill="auto"/>
            <w:hideMark/>
          </w:tcPr>
          <w:p w14:paraId="00D3474C" w14:textId="77777777" w:rsidR="00E35EB0" w:rsidRPr="0057086A" w:rsidRDefault="00E35EB0" w:rsidP="00E35EB0">
            <w:pPr>
              <w:spacing w:line="240" w:lineRule="exact"/>
              <w:jc w:val="both"/>
              <w:rPr>
                <w:rFonts w:cs="Arial"/>
                <w:bCs/>
              </w:rPr>
            </w:pPr>
            <w:r w:rsidRPr="0057086A">
              <w:rPr>
                <w:rFonts w:cs="Arial"/>
                <w:bCs/>
              </w:rPr>
              <w:t>BGN/MWh</w:t>
            </w:r>
          </w:p>
        </w:tc>
        <w:tc>
          <w:tcPr>
            <w:tcW w:w="619" w:type="pct"/>
            <w:tcBorders>
              <w:top w:val="nil"/>
              <w:left w:val="single" w:sz="4" w:space="0" w:color="000000"/>
              <w:bottom w:val="single" w:sz="4" w:space="0" w:color="000000"/>
              <w:right w:val="nil"/>
            </w:tcBorders>
            <w:shd w:val="clear" w:color="auto" w:fill="auto"/>
            <w:hideMark/>
          </w:tcPr>
          <w:p w14:paraId="4462E8FB" w14:textId="7562240A" w:rsidR="00E35EB0" w:rsidRPr="0057086A" w:rsidRDefault="00E35EB0" w:rsidP="00E35EB0">
            <w:pPr>
              <w:spacing w:line="240" w:lineRule="exact"/>
              <w:jc w:val="both"/>
              <w:rPr>
                <w:rFonts w:cs="Arial"/>
                <w:bCs/>
              </w:rPr>
            </w:pPr>
            <w:proofErr w:type="spellStart"/>
            <w:r w:rsidRPr="009B4FEF">
              <w:t>xxx,xx</w:t>
            </w:r>
            <w:proofErr w:type="spellEnd"/>
          </w:p>
        </w:tc>
        <w:tc>
          <w:tcPr>
            <w:tcW w:w="542" w:type="pct"/>
            <w:tcBorders>
              <w:top w:val="nil"/>
              <w:left w:val="single" w:sz="4" w:space="0" w:color="000000"/>
              <w:bottom w:val="single" w:sz="4" w:space="0" w:color="000000"/>
              <w:right w:val="nil"/>
            </w:tcBorders>
            <w:shd w:val="clear" w:color="auto" w:fill="auto"/>
            <w:hideMark/>
          </w:tcPr>
          <w:p w14:paraId="2190ABC5" w14:textId="0D6F52A3" w:rsidR="00E35EB0" w:rsidRPr="0057086A" w:rsidRDefault="00E35EB0" w:rsidP="00E35EB0">
            <w:pPr>
              <w:spacing w:line="240" w:lineRule="exact"/>
              <w:jc w:val="both"/>
              <w:rPr>
                <w:rFonts w:cs="Arial"/>
                <w:bCs/>
              </w:rPr>
            </w:pPr>
            <w:proofErr w:type="spellStart"/>
            <w:r w:rsidRPr="009B4FEF">
              <w:t>xxx,xx</w:t>
            </w:r>
            <w:proofErr w:type="spellEnd"/>
          </w:p>
        </w:tc>
        <w:tc>
          <w:tcPr>
            <w:tcW w:w="542" w:type="pct"/>
            <w:tcBorders>
              <w:top w:val="nil"/>
              <w:left w:val="single" w:sz="4" w:space="0" w:color="000000"/>
              <w:bottom w:val="single" w:sz="4" w:space="0" w:color="000000"/>
              <w:right w:val="nil"/>
            </w:tcBorders>
            <w:shd w:val="clear" w:color="auto" w:fill="auto"/>
            <w:hideMark/>
          </w:tcPr>
          <w:p w14:paraId="461A678D" w14:textId="669CDFB8" w:rsidR="00E35EB0" w:rsidRPr="0057086A" w:rsidRDefault="00E35EB0" w:rsidP="00E35EB0">
            <w:pPr>
              <w:spacing w:line="240" w:lineRule="exact"/>
              <w:jc w:val="both"/>
              <w:rPr>
                <w:rFonts w:cs="Arial"/>
                <w:bCs/>
              </w:rPr>
            </w:pPr>
            <w:proofErr w:type="spellStart"/>
            <w:r w:rsidRPr="009B4FEF">
              <w:t>xxx,xx</w:t>
            </w:r>
            <w:proofErr w:type="spellEnd"/>
          </w:p>
        </w:tc>
        <w:tc>
          <w:tcPr>
            <w:tcW w:w="852" w:type="pct"/>
            <w:tcBorders>
              <w:top w:val="nil"/>
              <w:left w:val="single" w:sz="4" w:space="0" w:color="000000"/>
              <w:bottom w:val="single" w:sz="4" w:space="0" w:color="000000"/>
              <w:right w:val="nil"/>
            </w:tcBorders>
            <w:shd w:val="clear" w:color="auto" w:fill="auto"/>
            <w:hideMark/>
          </w:tcPr>
          <w:p w14:paraId="7E0374E5" w14:textId="3CB7C939" w:rsidR="00E35EB0" w:rsidRPr="0057086A" w:rsidRDefault="00E35EB0" w:rsidP="00E35EB0">
            <w:pPr>
              <w:spacing w:line="240" w:lineRule="exact"/>
              <w:jc w:val="both"/>
              <w:rPr>
                <w:rFonts w:cs="Arial"/>
                <w:bCs/>
              </w:rPr>
            </w:pPr>
            <w:proofErr w:type="spellStart"/>
            <w:r w:rsidRPr="009B4FEF">
              <w:t>xxx,xx</w:t>
            </w:r>
            <w:proofErr w:type="spellEnd"/>
          </w:p>
        </w:tc>
        <w:tc>
          <w:tcPr>
            <w:tcW w:w="665" w:type="pct"/>
            <w:tcBorders>
              <w:top w:val="nil"/>
              <w:left w:val="single" w:sz="4" w:space="0" w:color="000000"/>
              <w:bottom w:val="single" w:sz="4" w:space="0" w:color="000000"/>
              <w:right w:val="single" w:sz="4" w:space="0" w:color="auto"/>
            </w:tcBorders>
            <w:shd w:val="clear" w:color="auto" w:fill="auto"/>
            <w:hideMark/>
          </w:tcPr>
          <w:p w14:paraId="65A86BE0" w14:textId="7012414E" w:rsidR="00E35EB0" w:rsidRPr="0057086A" w:rsidRDefault="00E35EB0" w:rsidP="00E35EB0">
            <w:pPr>
              <w:spacing w:line="240" w:lineRule="exact"/>
              <w:jc w:val="both"/>
              <w:rPr>
                <w:rFonts w:cs="Arial"/>
                <w:bCs/>
              </w:rPr>
            </w:pPr>
            <w:proofErr w:type="spellStart"/>
            <w:r w:rsidRPr="009B4FEF">
              <w:t>xxx,xx</w:t>
            </w:r>
            <w:proofErr w:type="spellEnd"/>
          </w:p>
        </w:tc>
      </w:tr>
      <w:tr w:rsidR="00E35EB0" w:rsidRPr="0057086A" w14:paraId="246C7ED2" w14:textId="77777777" w:rsidTr="00FE012B">
        <w:trPr>
          <w:trHeight w:val="221"/>
        </w:trPr>
        <w:tc>
          <w:tcPr>
            <w:tcW w:w="1081" w:type="pct"/>
            <w:tcBorders>
              <w:top w:val="nil"/>
              <w:left w:val="single" w:sz="4" w:space="0" w:color="000000"/>
              <w:bottom w:val="single" w:sz="4" w:space="0" w:color="000000"/>
              <w:right w:val="nil"/>
            </w:tcBorders>
            <w:shd w:val="clear" w:color="auto" w:fill="auto"/>
            <w:hideMark/>
          </w:tcPr>
          <w:p w14:paraId="6030C20F" w14:textId="77777777" w:rsidR="00E35EB0" w:rsidRPr="0057086A" w:rsidRDefault="00E35EB0" w:rsidP="00E35EB0">
            <w:pPr>
              <w:spacing w:line="240" w:lineRule="exact"/>
              <w:jc w:val="both"/>
              <w:rPr>
                <w:rFonts w:cs="Arial"/>
                <w:b/>
              </w:rPr>
            </w:pPr>
            <w:proofErr w:type="spellStart"/>
            <w:r w:rsidRPr="0057086A">
              <w:rPr>
                <w:rFonts w:cs="Arial"/>
                <w:b/>
              </w:rPr>
              <w:t>Цп</w:t>
            </w:r>
            <w:proofErr w:type="spellEnd"/>
          </w:p>
        </w:tc>
        <w:tc>
          <w:tcPr>
            <w:tcW w:w="698" w:type="pct"/>
            <w:tcBorders>
              <w:top w:val="nil"/>
              <w:left w:val="single" w:sz="4" w:space="0" w:color="000000"/>
              <w:bottom w:val="single" w:sz="4" w:space="0" w:color="000000"/>
              <w:right w:val="nil"/>
            </w:tcBorders>
            <w:shd w:val="clear" w:color="auto" w:fill="auto"/>
            <w:hideMark/>
          </w:tcPr>
          <w:p w14:paraId="4991A4D2" w14:textId="77777777" w:rsidR="00E35EB0" w:rsidRPr="0057086A" w:rsidRDefault="00E35EB0" w:rsidP="00E35EB0">
            <w:pPr>
              <w:spacing w:line="240" w:lineRule="exact"/>
              <w:jc w:val="both"/>
              <w:rPr>
                <w:rFonts w:cs="Arial"/>
                <w:bCs/>
              </w:rPr>
            </w:pPr>
            <w:r w:rsidRPr="0057086A">
              <w:rPr>
                <w:rFonts w:cs="Arial"/>
                <w:bCs/>
              </w:rPr>
              <w:t>BGN/MWh</w:t>
            </w:r>
          </w:p>
        </w:tc>
        <w:tc>
          <w:tcPr>
            <w:tcW w:w="619" w:type="pct"/>
            <w:tcBorders>
              <w:top w:val="nil"/>
              <w:left w:val="single" w:sz="4" w:space="0" w:color="000000"/>
              <w:bottom w:val="single" w:sz="4" w:space="0" w:color="000000"/>
              <w:right w:val="nil"/>
            </w:tcBorders>
            <w:shd w:val="clear" w:color="auto" w:fill="auto"/>
            <w:hideMark/>
          </w:tcPr>
          <w:p w14:paraId="736CF14A" w14:textId="151572AD" w:rsidR="00E35EB0" w:rsidRPr="0057086A" w:rsidRDefault="00E35EB0" w:rsidP="00E35EB0">
            <w:pPr>
              <w:spacing w:line="240" w:lineRule="exact"/>
              <w:jc w:val="both"/>
              <w:rPr>
                <w:rFonts w:cs="Arial"/>
                <w:bCs/>
              </w:rPr>
            </w:pPr>
            <w:proofErr w:type="spellStart"/>
            <w:r w:rsidRPr="009B4FEF">
              <w:t>xxx,xx</w:t>
            </w:r>
            <w:proofErr w:type="spellEnd"/>
          </w:p>
        </w:tc>
        <w:tc>
          <w:tcPr>
            <w:tcW w:w="542" w:type="pct"/>
            <w:tcBorders>
              <w:top w:val="nil"/>
              <w:left w:val="single" w:sz="4" w:space="0" w:color="000000"/>
              <w:bottom w:val="single" w:sz="4" w:space="0" w:color="000000"/>
              <w:right w:val="nil"/>
            </w:tcBorders>
            <w:shd w:val="clear" w:color="auto" w:fill="auto"/>
            <w:hideMark/>
          </w:tcPr>
          <w:p w14:paraId="35719E64" w14:textId="24F602EC" w:rsidR="00E35EB0" w:rsidRPr="0057086A" w:rsidRDefault="00E35EB0" w:rsidP="00E35EB0">
            <w:pPr>
              <w:spacing w:line="240" w:lineRule="exact"/>
              <w:jc w:val="both"/>
              <w:rPr>
                <w:rFonts w:cs="Arial"/>
                <w:bCs/>
              </w:rPr>
            </w:pPr>
            <w:proofErr w:type="spellStart"/>
            <w:r w:rsidRPr="009B4FEF">
              <w:t>xxx,xx</w:t>
            </w:r>
            <w:proofErr w:type="spellEnd"/>
          </w:p>
        </w:tc>
        <w:tc>
          <w:tcPr>
            <w:tcW w:w="542" w:type="pct"/>
            <w:tcBorders>
              <w:top w:val="nil"/>
              <w:left w:val="single" w:sz="4" w:space="0" w:color="000000"/>
              <w:bottom w:val="single" w:sz="4" w:space="0" w:color="000000"/>
              <w:right w:val="nil"/>
            </w:tcBorders>
            <w:shd w:val="clear" w:color="auto" w:fill="auto"/>
            <w:hideMark/>
          </w:tcPr>
          <w:p w14:paraId="62D63B91" w14:textId="42115883" w:rsidR="00E35EB0" w:rsidRPr="0057086A" w:rsidRDefault="00E35EB0" w:rsidP="00E35EB0">
            <w:pPr>
              <w:spacing w:line="240" w:lineRule="exact"/>
              <w:jc w:val="both"/>
              <w:rPr>
                <w:rFonts w:cs="Arial"/>
                <w:bCs/>
              </w:rPr>
            </w:pPr>
            <w:proofErr w:type="spellStart"/>
            <w:r w:rsidRPr="009B4FEF">
              <w:t>xxx,xx</w:t>
            </w:r>
            <w:proofErr w:type="spellEnd"/>
          </w:p>
        </w:tc>
        <w:tc>
          <w:tcPr>
            <w:tcW w:w="852" w:type="pct"/>
            <w:tcBorders>
              <w:top w:val="nil"/>
              <w:left w:val="single" w:sz="4" w:space="0" w:color="000000"/>
              <w:bottom w:val="single" w:sz="4" w:space="0" w:color="000000"/>
              <w:right w:val="nil"/>
            </w:tcBorders>
            <w:shd w:val="clear" w:color="auto" w:fill="auto"/>
            <w:hideMark/>
          </w:tcPr>
          <w:p w14:paraId="4FB81054" w14:textId="1D159C65" w:rsidR="00E35EB0" w:rsidRPr="0057086A" w:rsidRDefault="00E35EB0" w:rsidP="00E35EB0">
            <w:pPr>
              <w:spacing w:line="240" w:lineRule="exact"/>
              <w:jc w:val="both"/>
              <w:rPr>
                <w:rFonts w:cs="Arial"/>
                <w:bCs/>
              </w:rPr>
            </w:pPr>
            <w:proofErr w:type="spellStart"/>
            <w:r w:rsidRPr="009B4FEF">
              <w:t>xxx,xx</w:t>
            </w:r>
            <w:proofErr w:type="spellEnd"/>
          </w:p>
        </w:tc>
        <w:tc>
          <w:tcPr>
            <w:tcW w:w="665" w:type="pct"/>
            <w:tcBorders>
              <w:top w:val="nil"/>
              <w:left w:val="single" w:sz="4" w:space="0" w:color="000000"/>
              <w:bottom w:val="single" w:sz="4" w:space="0" w:color="000000"/>
              <w:right w:val="single" w:sz="4" w:space="0" w:color="auto"/>
            </w:tcBorders>
            <w:shd w:val="clear" w:color="auto" w:fill="auto"/>
            <w:hideMark/>
          </w:tcPr>
          <w:p w14:paraId="63573A82" w14:textId="4695A095" w:rsidR="00E35EB0" w:rsidRPr="0057086A" w:rsidRDefault="00E35EB0" w:rsidP="00E35EB0">
            <w:pPr>
              <w:spacing w:line="240" w:lineRule="exact"/>
              <w:jc w:val="both"/>
              <w:rPr>
                <w:rFonts w:cs="Arial"/>
                <w:bCs/>
              </w:rPr>
            </w:pPr>
            <w:proofErr w:type="spellStart"/>
            <w:r w:rsidRPr="009B4FEF">
              <w:t>xxx,xx</w:t>
            </w:r>
            <w:proofErr w:type="spellEnd"/>
          </w:p>
        </w:tc>
      </w:tr>
      <w:tr w:rsidR="00E35EB0" w:rsidRPr="0057086A" w14:paraId="6CEC01D6" w14:textId="77777777" w:rsidTr="00FE012B">
        <w:trPr>
          <w:trHeight w:val="221"/>
        </w:trPr>
        <w:tc>
          <w:tcPr>
            <w:tcW w:w="1081" w:type="pct"/>
            <w:tcBorders>
              <w:top w:val="nil"/>
              <w:left w:val="single" w:sz="4" w:space="0" w:color="000000"/>
              <w:bottom w:val="single" w:sz="4" w:space="0" w:color="000000"/>
              <w:right w:val="nil"/>
            </w:tcBorders>
            <w:shd w:val="clear" w:color="auto" w:fill="auto"/>
            <w:hideMark/>
          </w:tcPr>
          <w:p w14:paraId="7149FFD9" w14:textId="77777777" w:rsidR="00E35EB0" w:rsidRPr="0057086A" w:rsidRDefault="00E35EB0" w:rsidP="00E35EB0">
            <w:pPr>
              <w:spacing w:line="240" w:lineRule="exact"/>
              <w:jc w:val="both"/>
              <w:rPr>
                <w:rFonts w:cs="Arial"/>
                <w:bCs/>
              </w:rPr>
            </w:pPr>
            <w:r w:rsidRPr="0057086A">
              <w:rPr>
                <w:rFonts w:cs="Arial"/>
                <w:bCs/>
              </w:rPr>
              <w:t>надвзет/недовзет приход от природен газ</w:t>
            </w:r>
          </w:p>
        </w:tc>
        <w:tc>
          <w:tcPr>
            <w:tcW w:w="698" w:type="pct"/>
            <w:tcBorders>
              <w:top w:val="nil"/>
              <w:left w:val="single" w:sz="4" w:space="0" w:color="000000"/>
              <w:bottom w:val="single" w:sz="4" w:space="0" w:color="000000"/>
              <w:right w:val="nil"/>
            </w:tcBorders>
            <w:shd w:val="clear" w:color="auto" w:fill="auto"/>
            <w:hideMark/>
          </w:tcPr>
          <w:p w14:paraId="3EE92590" w14:textId="77777777" w:rsidR="00E35EB0" w:rsidRPr="0057086A" w:rsidRDefault="00E35EB0" w:rsidP="00E35EB0">
            <w:pPr>
              <w:spacing w:line="240" w:lineRule="exact"/>
              <w:jc w:val="both"/>
              <w:rPr>
                <w:rFonts w:cs="Arial"/>
                <w:bCs/>
              </w:rPr>
            </w:pPr>
            <w:proofErr w:type="spellStart"/>
            <w:r w:rsidRPr="0057086A">
              <w:rPr>
                <w:rFonts w:cs="Arial"/>
                <w:bCs/>
              </w:rPr>
              <w:t>хил.лв</w:t>
            </w:r>
            <w:proofErr w:type="spellEnd"/>
          </w:p>
        </w:tc>
        <w:tc>
          <w:tcPr>
            <w:tcW w:w="619" w:type="pct"/>
            <w:tcBorders>
              <w:top w:val="nil"/>
              <w:left w:val="single" w:sz="4" w:space="0" w:color="000000"/>
              <w:bottom w:val="single" w:sz="4" w:space="0" w:color="000000"/>
              <w:right w:val="nil"/>
            </w:tcBorders>
            <w:shd w:val="clear" w:color="auto" w:fill="auto"/>
            <w:hideMark/>
          </w:tcPr>
          <w:p w14:paraId="1152D75D" w14:textId="7310EB74" w:rsidR="00E35EB0" w:rsidRPr="0057086A" w:rsidRDefault="00E35EB0" w:rsidP="00E35EB0">
            <w:pPr>
              <w:spacing w:line="240" w:lineRule="exact"/>
              <w:jc w:val="both"/>
              <w:rPr>
                <w:rFonts w:cs="Arial"/>
                <w:bCs/>
              </w:rPr>
            </w:pPr>
            <w:r w:rsidRPr="009B4FEF">
              <w:t xml:space="preserve">-x </w:t>
            </w:r>
            <w:proofErr w:type="spellStart"/>
            <w:r w:rsidRPr="009B4FEF">
              <w:t>xxx,xx</w:t>
            </w:r>
            <w:proofErr w:type="spellEnd"/>
          </w:p>
        </w:tc>
        <w:tc>
          <w:tcPr>
            <w:tcW w:w="542" w:type="pct"/>
            <w:tcBorders>
              <w:top w:val="nil"/>
              <w:left w:val="single" w:sz="4" w:space="0" w:color="000000"/>
              <w:bottom w:val="single" w:sz="4" w:space="0" w:color="000000"/>
              <w:right w:val="nil"/>
            </w:tcBorders>
            <w:shd w:val="clear" w:color="auto" w:fill="auto"/>
            <w:hideMark/>
          </w:tcPr>
          <w:p w14:paraId="321CBA4A" w14:textId="1E32CFDD" w:rsidR="00E35EB0" w:rsidRPr="0057086A" w:rsidRDefault="00E35EB0" w:rsidP="00E35EB0">
            <w:pPr>
              <w:spacing w:line="240" w:lineRule="exact"/>
              <w:jc w:val="both"/>
              <w:rPr>
                <w:rFonts w:cs="Arial"/>
                <w:bCs/>
              </w:rPr>
            </w:pPr>
            <w:r w:rsidRPr="009B4FEF">
              <w:t xml:space="preserve">-x </w:t>
            </w:r>
            <w:proofErr w:type="spellStart"/>
            <w:r w:rsidRPr="009B4FEF">
              <w:t>xxx,xx</w:t>
            </w:r>
            <w:proofErr w:type="spellEnd"/>
          </w:p>
        </w:tc>
        <w:tc>
          <w:tcPr>
            <w:tcW w:w="542" w:type="pct"/>
            <w:tcBorders>
              <w:top w:val="nil"/>
              <w:left w:val="single" w:sz="4" w:space="0" w:color="000000"/>
              <w:bottom w:val="single" w:sz="4" w:space="0" w:color="000000"/>
              <w:right w:val="nil"/>
            </w:tcBorders>
            <w:shd w:val="clear" w:color="auto" w:fill="auto"/>
            <w:hideMark/>
          </w:tcPr>
          <w:p w14:paraId="132388DE" w14:textId="7180FF07" w:rsidR="00E35EB0" w:rsidRPr="0057086A" w:rsidRDefault="00E35EB0" w:rsidP="00E35EB0">
            <w:pPr>
              <w:spacing w:line="240" w:lineRule="exact"/>
              <w:jc w:val="both"/>
              <w:rPr>
                <w:rFonts w:cs="Arial"/>
                <w:bCs/>
              </w:rPr>
            </w:pPr>
            <w:r w:rsidRPr="009B4FEF">
              <w:t xml:space="preserve">-xx </w:t>
            </w:r>
            <w:proofErr w:type="spellStart"/>
            <w:r w:rsidRPr="009B4FEF">
              <w:t>xxx,xx</w:t>
            </w:r>
            <w:proofErr w:type="spellEnd"/>
          </w:p>
        </w:tc>
        <w:tc>
          <w:tcPr>
            <w:tcW w:w="852" w:type="pct"/>
            <w:tcBorders>
              <w:top w:val="nil"/>
              <w:left w:val="single" w:sz="4" w:space="0" w:color="000000"/>
              <w:bottom w:val="single" w:sz="4" w:space="0" w:color="000000"/>
              <w:right w:val="nil"/>
            </w:tcBorders>
            <w:shd w:val="clear" w:color="auto" w:fill="auto"/>
            <w:hideMark/>
          </w:tcPr>
          <w:p w14:paraId="55467A46" w14:textId="1D3E6AAD" w:rsidR="00E35EB0" w:rsidRPr="0057086A" w:rsidRDefault="00E35EB0" w:rsidP="00E35EB0">
            <w:pPr>
              <w:spacing w:line="240" w:lineRule="exact"/>
              <w:jc w:val="both"/>
              <w:rPr>
                <w:rFonts w:cs="Arial"/>
                <w:bCs/>
              </w:rPr>
            </w:pPr>
            <w:r w:rsidRPr="009B4FEF">
              <w:t xml:space="preserve">-x </w:t>
            </w:r>
            <w:proofErr w:type="spellStart"/>
            <w:r w:rsidRPr="009B4FEF">
              <w:t>xxx,xx</w:t>
            </w:r>
            <w:proofErr w:type="spellEnd"/>
          </w:p>
        </w:tc>
        <w:tc>
          <w:tcPr>
            <w:tcW w:w="665" w:type="pct"/>
            <w:tcBorders>
              <w:top w:val="nil"/>
              <w:left w:val="single" w:sz="4" w:space="0" w:color="000000"/>
              <w:bottom w:val="single" w:sz="4" w:space="0" w:color="000000"/>
              <w:right w:val="single" w:sz="4" w:space="0" w:color="auto"/>
            </w:tcBorders>
            <w:shd w:val="clear" w:color="auto" w:fill="auto"/>
            <w:hideMark/>
          </w:tcPr>
          <w:p w14:paraId="0BCDB02A" w14:textId="5532CFAB" w:rsidR="00E35EB0" w:rsidRPr="0057086A" w:rsidRDefault="00E35EB0" w:rsidP="00E35EB0">
            <w:pPr>
              <w:spacing w:line="240" w:lineRule="exact"/>
              <w:jc w:val="both"/>
              <w:rPr>
                <w:rFonts w:cs="Arial"/>
                <w:bCs/>
              </w:rPr>
            </w:pPr>
            <w:r w:rsidRPr="009B4FEF">
              <w:t>-</w:t>
            </w:r>
            <w:proofErr w:type="spellStart"/>
            <w:r w:rsidRPr="009B4FEF">
              <w:t>xxx,xx</w:t>
            </w:r>
            <w:proofErr w:type="spellEnd"/>
          </w:p>
        </w:tc>
      </w:tr>
      <w:tr w:rsidR="00E35EB0" w:rsidRPr="0057086A" w14:paraId="02D42F43" w14:textId="77777777" w:rsidTr="00FE012B">
        <w:trPr>
          <w:trHeight w:val="221"/>
        </w:trPr>
        <w:tc>
          <w:tcPr>
            <w:tcW w:w="1081" w:type="pct"/>
            <w:tcBorders>
              <w:top w:val="nil"/>
              <w:left w:val="single" w:sz="4" w:space="0" w:color="000000"/>
              <w:bottom w:val="single" w:sz="4" w:space="0" w:color="000000"/>
              <w:right w:val="nil"/>
            </w:tcBorders>
            <w:shd w:val="clear" w:color="auto" w:fill="auto"/>
            <w:hideMark/>
          </w:tcPr>
          <w:p w14:paraId="350F72FE" w14:textId="77777777" w:rsidR="00E35EB0" w:rsidRPr="0057086A" w:rsidRDefault="00E35EB0" w:rsidP="00E35EB0">
            <w:pPr>
              <w:spacing w:line="240" w:lineRule="exact"/>
              <w:jc w:val="both"/>
              <w:rPr>
                <w:rFonts w:cs="Arial"/>
                <w:b/>
                <w:bCs/>
              </w:rPr>
            </w:pPr>
            <w:proofErr w:type="spellStart"/>
            <w:r w:rsidRPr="0057086A">
              <w:rPr>
                <w:rFonts w:cs="Arial"/>
                <w:b/>
                <w:bCs/>
              </w:rPr>
              <w:t>Цбг</w:t>
            </w:r>
            <w:proofErr w:type="spellEnd"/>
          </w:p>
        </w:tc>
        <w:tc>
          <w:tcPr>
            <w:tcW w:w="698" w:type="pct"/>
            <w:tcBorders>
              <w:top w:val="nil"/>
              <w:left w:val="single" w:sz="4" w:space="0" w:color="000000"/>
              <w:bottom w:val="single" w:sz="4" w:space="0" w:color="000000"/>
              <w:right w:val="nil"/>
            </w:tcBorders>
            <w:shd w:val="clear" w:color="auto" w:fill="auto"/>
            <w:hideMark/>
          </w:tcPr>
          <w:p w14:paraId="2CBB44AE" w14:textId="77777777" w:rsidR="00E35EB0" w:rsidRPr="0057086A" w:rsidRDefault="00E35EB0" w:rsidP="00E35EB0">
            <w:pPr>
              <w:spacing w:line="240" w:lineRule="exact"/>
              <w:jc w:val="both"/>
              <w:rPr>
                <w:rFonts w:cs="Arial"/>
                <w:b/>
                <w:bCs/>
              </w:rPr>
            </w:pPr>
            <w:r w:rsidRPr="0057086A">
              <w:rPr>
                <w:rFonts w:cs="Arial"/>
                <w:b/>
                <w:bCs/>
              </w:rPr>
              <w:t>BGN/MWh</w:t>
            </w:r>
          </w:p>
        </w:tc>
        <w:tc>
          <w:tcPr>
            <w:tcW w:w="619" w:type="pct"/>
            <w:tcBorders>
              <w:top w:val="nil"/>
              <w:left w:val="single" w:sz="4" w:space="0" w:color="000000"/>
              <w:bottom w:val="single" w:sz="4" w:space="0" w:color="000000"/>
              <w:right w:val="nil"/>
            </w:tcBorders>
            <w:shd w:val="clear" w:color="auto" w:fill="auto"/>
            <w:hideMark/>
          </w:tcPr>
          <w:p w14:paraId="274688DA" w14:textId="06383249" w:rsidR="00E35EB0" w:rsidRPr="00E35EB0" w:rsidRDefault="00E35EB0" w:rsidP="00E35EB0">
            <w:pPr>
              <w:spacing w:line="240" w:lineRule="exact"/>
              <w:jc w:val="both"/>
              <w:rPr>
                <w:rFonts w:cs="Arial"/>
                <w:b/>
                <w:bCs/>
              </w:rPr>
            </w:pPr>
            <w:proofErr w:type="spellStart"/>
            <w:r w:rsidRPr="00E35EB0">
              <w:rPr>
                <w:b/>
                <w:bCs/>
              </w:rPr>
              <w:t>xxx,xx</w:t>
            </w:r>
            <w:proofErr w:type="spellEnd"/>
          </w:p>
        </w:tc>
        <w:tc>
          <w:tcPr>
            <w:tcW w:w="542" w:type="pct"/>
            <w:tcBorders>
              <w:top w:val="nil"/>
              <w:left w:val="single" w:sz="4" w:space="0" w:color="000000"/>
              <w:bottom w:val="single" w:sz="4" w:space="0" w:color="000000"/>
              <w:right w:val="nil"/>
            </w:tcBorders>
            <w:shd w:val="clear" w:color="auto" w:fill="auto"/>
            <w:hideMark/>
          </w:tcPr>
          <w:p w14:paraId="57FCCB2A" w14:textId="220A410D" w:rsidR="00E35EB0" w:rsidRPr="00E35EB0" w:rsidRDefault="00E35EB0" w:rsidP="00E35EB0">
            <w:pPr>
              <w:spacing w:line="240" w:lineRule="exact"/>
              <w:jc w:val="both"/>
              <w:rPr>
                <w:rFonts w:cs="Arial"/>
                <w:b/>
                <w:bCs/>
              </w:rPr>
            </w:pPr>
            <w:proofErr w:type="spellStart"/>
            <w:r w:rsidRPr="00E35EB0">
              <w:rPr>
                <w:b/>
                <w:bCs/>
              </w:rPr>
              <w:t>xxx,xx</w:t>
            </w:r>
            <w:proofErr w:type="spellEnd"/>
          </w:p>
        </w:tc>
        <w:tc>
          <w:tcPr>
            <w:tcW w:w="542" w:type="pct"/>
            <w:tcBorders>
              <w:top w:val="nil"/>
              <w:left w:val="single" w:sz="4" w:space="0" w:color="000000"/>
              <w:bottom w:val="single" w:sz="4" w:space="0" w:color="000000"/>
              <w:right w:val="nil"/>
            </w:tcBorders>
            <w:shd w:val="clear" w:color="auto" w:fill="auto"/>
            <w:hideMark/>
          </w:tcPr>
          <w:p w14:paraId="180AFE66" w14:textId="6B8719FC" w:rsidR="00E35EB0" w:rsidRPr="00E35EB0" w:rsidRDefault="00E35EB0" w:rsidP="00E35EB0">
            <w:pPr>
              <w:spacing w:line="240" w:lineRule="exact"/>
              <w:jc w:val="both"/>
              <w:rPr>
                <w:rFonts w:cs="Arial"/>
                <w:b/>
                <w:bCs/>
              </w:rPr>
            </w:pPr>
            <w:proofErr w:type="spellStart"/>
            <w:r w:rsidRPr="00E35EB0">
              <w:rPr>
                <w:b/>
                <w:bCs/>
              </w:rPr>
              <w:t>xxx,xx</w:t>
            </w:r>
            <w:proofErr w:type="spellEnd"/>
          </w:p>
        </w:tc>
        <w:tc>
          <w:tcPr>
            <w:tcW w:w="852" w:type="pct"/>
            <w:tcBorders>
              <w:top w:val="nil"/>
              <w:left w:val="single" w:sz="4" w:space="0" w:color="000000"/>
              <w:bottom w:val="single" w:sz="4" w:space="0" w:color="000000"/>
              <w:right w:val="nil"/>
            </w:tcBorders>
            <w:shd w:val="clear" w:color="auto" w:fill="auto"/>
            <w:hideMark/>
          </w:tcPr>
          <w:p w14:paraId="78CE575B" w14:textId="53EF33B5" w:rsidR="00E35EB0" w:rsidRPr="00E35EB0" w:rsidRDefault="00E35EB0" w:rsidP="00E35EB0">
            <w:pPr>
              <w:spacing w:line="240" w:lineRule="exact"/>
              <w:jc w:val="both"/>
              <w:rPr>
                <w:rFonts w:cs="Arial"/>
                <w:b/>
                <w:bCs/>
              </w:rPr>
            </w:pPr>
            <w:proofErr w:type="spellStart"/>
            <w:r w:rsidRPr="00E35EB0">
              <w:rPr>
                <w:b/>
                <w:bCs/>
              </w:rPr>
              <w:t>xxx,xx</w:t>
            </w:r>
            <w:proofErr w:type="spellEnd"/>
          </w:p>
        </w:tc>
        <w:tc>
          <w:tcPr>
            <w:tcW w:w="665" w:type="pct"/>
            <w:tcBorders>
              <w:top w:val="nil"/>
              <w:left w:val="single" w:sz="4" w:space="0" w:color="000000"/>
              <w:bottom w:val="single" w:sz="4" w:space="0" w:color="000000"/>
              <w:right w:val="single" w:sz="4" w:space="0" w:color="auto"/>
            </w:tcBorders>
            <w:shd w:val="clear" w:color="auto" w:fill="auto"/>
            <w:hideMark/>
          </w:tcPr>
          <w:p w14:paraId="1EFA4921" w14:textId="75822877" w:rsidR="00E35EB0" w:rsidRPr="00E35EB0" w:rsidRDefault="00E35EB0" w:rsidP="00E35EB0">
            <w:pPr>
              <w:spacing w:line="240" w:lineRule="exact"/>
              <w:jc w:val="both"/>
              <w:rPr>
                <w:rFonts w:cs="Arial"/>
                <w:b/>
                <w:bCs/>
              </w:rPr>
            </w:pPr>
            <w:proofErr w:type="spellStart"/>
            <w:r w:rsidRPr="00E35EB0">
              <w:rPr>
                <w:b/>
                <w:bCs/>
              </w:rPr>
              <w:t>xxx,xx</w:t>
            </w:r>
            <w:proofErr w:type="spellEnd"/>
          </w:p>
        </w:tc>
      </w:tr>
      <w:tr w:rsidR="00E35EB0" w:rsidRPr="0057086A" w14:paraId="0FBFE388" w14:textId="77777777" w:rsidTr="00FE012B">
        <w:trPr>
          <w:trHeight w:val="262"/>
        </w:trPr>
        <w:tc>
          <w:tcPr>
            <w:tcW w:w="1779" w:type="pct"/>
            <w:gridSpan w:val="2"/>
            <w:tcBorders>
              <w:top w:val="single" w:sz="4" w:space="0" w:color="000000"/>
              <w:left w:val="single" w:sz="4" w:space="0" w:color="000000"/>
              <w:bottom w:val="single" w:sz="4" w:space="0" w:color="000000"/>
              <w:right w:val="nil"/>
            </w:tcBorders>
            <w:shd w:val="clear" w:color="auto" w:fill="auto"/>
            <w:hideMark/>
          </w:tcPr>
          <w:p w14:paraId="2125E0A1" w14:textId="77777777" w:rsidR="00E35EB0" w:rsidRPr="0057086A" w:rsidRDefault="00E35EB0" w:rsidP="00E35EB0">
            <w:pPr>
              <w:spacing w:line="240" w:lineRule="exact"/>
              <w:jc w:val="both"/>
              <w:rPr>
                <w:rFonts w:cs="Arial"/>
                <w:bCs/>
              </w:rPr>
            </w:pPr>
            <w:r w:rsidRPr="0057086A">
              <w:rPr>
                <w:rFonts w:cs="Arial"/>
                <w:bCs/>
              </w:rPr>
              <w:t> </w:t>
            </w:r>
          </w:p>
        </w:tc>
        <w:tc>
          <w:tcPr>
            <w:tcW w:w="619" w:type="pct"/>
            <w:tcBorders>
              <w:top w:val="nil"/>
              <w:left w:val="single" w:sz="4" w:space="0" w:color="000000"/>
              <w:bottom w:val="single" w:sz="4" w:space="0" w:color="000000"/>
              <w:right w:val="nil"/>
            </w:tcBorders>
            <w:shd w:val="clear" w:color="auto" w:fill="auto"/>
          </w:tcPr>
          <w:p w14:paraId="45273850" w14:textId="7D5AFFA9" w:rsidR="00E35EB0" w:rsidRPr="0057086A" w:rsidRDefault="00E35EB0" w:rsidP="00E35EB0">
            <w:pPr>
              <w:spacing w:line="240" w:lineRule="exact"/>
              <w:jc w:val="both"/>
              <w:rPr>
                <w:rFonts w:cs="Arial"/>
                <w:bCs/>
              </w:rPr>
            </w:pPr>
          </w:p>
        </w:tc>
        <w:tc>
          <w:tcPr>
            <w:tcW w:w="542" w:type="pct"/>
            <w:tcBorders>
              <w:top w:val="nil"/>
              <w:left w:val="single" w:sz="4" w:space="0" w:color="000000"/>
              <w:bottom w:val="single" w:sz="4" w:space="0" w:color="000000"/>
              <w:right w:val="nil"/>
            </w:tcBorders>
            <w:shd w:val="clear" w:color="auto" w:fill="auto"/>
          </w:tcPr>
          <w:p w14:paraId="0CA82BE8" w14:textId="4555884E" w:rsidR="00E35EB0" w:rsidRPr="0057086A" w:rsidRDefault="00E35EB0" w:rsidP="00E35EB0">
            <w:pPr>
              <w:spacing w:line="240" w:lineRule="exact"/>
              <w:jc w:val="both"/>
              <w:rPr>
                <w:rFonts w:cs="Arial"/>
                <w:bCs/>
              </w:rPr>
            </w:pPr>
          </w:p>
        </w:tc>
        <w:tc>
          <w:tcPr>
            <w:tcW w:w="542" w:type="pct"/>
            <w:tcBorders>
              <w:top w:val="nil"/>
              <w:left w:val="single" w:sz="4" w:space="0" w:color="000000"/>
              <w:bottom w:val="single" w:sz="4" w:space="0" w:color="000000"/>
              <w:right w:val="nil"/>
            </w:tcBorders>
            <w:shd w:val="clear" w:color="auto" w:fill="auto"/>
          </w:tcPr>
          <w:p w14:paraId="2AA92AC4" w14:textId="541BB0AC" w:rsidR="00E35EB0" w:rsidRPr="0057086A" w:rsidRDefault="00E35EB0" w:rsidP="00E35EB0">
            <w:pPr>
              <w:spacing w:line="240" w:lineRule="exact"/>
              <w:jc w:val="both"/>
              <w:rPr>
                <w:rFonts w:cs="Arial"/>
                <w:bCs/>
              </w:rPr>
            </w:pPr>
          </w:p>
        </w:tc>
        <w:tc>
          <w:tcPr>
            <w:tcW w:w="852" w:type="pct"/>
            <w:tcBorders>
              <w:top w:val="nil"/>
              <w:left w:val="single" w:sz="4" w:space="0" w:color="000000"/>
              <w:bottom w:val="single" w:sz="4" w:space="0" w:color="000000"/>
              <w:right w:val="nil"/>
            </w:tcBorders>
            <w:shd w:val="clear" w:color="auto" w:fill="auto"/>
          </w:tcPr>
          <w:p w14:paraId="36DA5F9F" w14:textId="11325CB8" w:rsidR="00E35EB0" w:rsidRPr="0057086A" w:rsidRDefault="00E35EB0" w:rsidP="00E35EB0">
            <w:pPr>
              <w:spacing w:line="240" w:lineRule="exact"/>
              <w:jc w:val="both"/>
              <w:rPr>
                <w:rFonts w:cs="Arial"/>
                <w:bCs/>
              </w:rPr>
            </w:pPr>
          </w:p>
        </w:tc>
        <w:tc>
          <w:tcPr>
            <w:tcW w:w="665" w:type="pct"/>
            <w:tcBorders>
              <w:top w:val="nil"/>
              <w:left w:val="single" w:sz="4" w:space="0" w:color="000000"/>
              <w:bottom w:val="single" w:sz="4" w:space="0" w:color="000000"/>
              <w:right w:val="single" w:sz="4" w:space="0" w:color="auto"/>
            </w:tcBorders>
            <w:shd w:val="clear" w:color="auto" w:fill="auto"/>
          </w:tcPr>
          <w:p w14:paraId="72931600" w14:textId="6AD890A8" w:rsidR="00E35EB0" w:rsidRPr="0057086A" w:rsidRDefault="00E35EB0" w:rsidP="00E35EB0">
            <w:pPr>
              <w:spacing w:line="240" w:lineRule="exact"/>
              <w:jc w:val="both"/>
              <w:rPr>
                <w:rFonts w:cs="Arial"/>
                <w:bCs/>
              </w:rPr>
            </w:pPr>
          </w:p>
        </w:tc>
      </w:tr>
      <w:tr w:rsidR="00E35EB0" w:rsidRPr="0057086A" w14:paraId="6A39A005" w14:textId="77777777" w:rsidTr="00FE012B">
        <w:trPr>
          <w:trHeight w:val="221"/>
        </w:trPr>
        <w:tc>
          <w:tcPr>
            <w:tcW w:w="1081" w:type="pct"/>
            <w:tcBorders>
              <w:top w:val="nil"/>
              <w:left w:val="single" w:sz="4" w:space="0" w:color="000000"/>
              <w:bottom w:val="single" w:sz="4" w:space="0" w:color="000000"/>
              <w:right w:val="nil"/>
            </w:tcBorders>
            <w:shd w:val="clear" w:color="auto" w:fill="auto"/>
            <w:hideMark/>
          </w:tcPr>
          <w:p w14:paraId="4F8890AD" w14:textId="77777777" w:rsidR="00E35EB0" w:rsidRPr="0057086A" w:rsidRDefault="00E35EB0" w:rsidP="00E35EB0">
            <w:pPr>
              <w:spacing w:line="240" w:lineRule="exact"/>
              <w:jc w:val="both"/>
              <w:rPr>
                <w:rFonts w:cs="Arial"/>
                <w:b/>
              </w:rPr>
            </w:pPr>
            <w:proofErr w:type="spellStart"/>
            <w:r w:rsidRPr="0057086A">
              <w:rPr>
                <w:rFonts w:cs="Arial"/>
                <w:b/>
              </w:rPr>
              <w:t>Цпl</w:t>
            </w:r>
            <w:proofErr w:type="spellEnd"/>
          </w:p>
        </w:tc>
        <w:tc>
          <w:tcPr>
            <w:tcW w:w="698" w:type="pct"/>
            <w:tcBorders>
              <w:top w:val="nil"/>
              <w:left w:val="single" w:sz="4" w:space="0" w:color="000000"/>
              <w:bottom w:val="single" w:sz="4" w:space="0" w:color="000000"/>
              <w:right w:val="nil"/>
            </w:tcBorders>
            <w:shd w:val="clear" w:color="auto" w:fill="auto"/>
            <w:hideMark/>
          </w:tcPr>
          <w:p w14:paraId="4523267F" w14:textId="77777777" w:rsidR="00E35EB0" w:rsidRPr="0057086A" w:rsidRDefault="00E35EB0" w:rsidP="00E35EB0">
            <w:pPr>
              <w:spacing w:line="240" w:lineRule="exact"/>
              <w:jc w:val="both"/>
              <w:rPr>
                <w:rFonts w:cs="Arial"/>
                <w:bCs/>
              </w:rPr>
            </w:pPr>
            <w:r w:rsidRPr="0057086A">
              <w:rPr>
                <w:rFonts w:cs="Arial"/>
                <w:bCs/>
              </w:rPr>
              <w:t>BGN/MWh</w:t>
            </w:r>
          </w:p>
        </w:tc>
        <w:tc>
          <w:tcPr>
            <w:tcW w:w="619" w:type="pct"/>
            <w:tcBorders>
              <w:top w:val="nil"/>
              <w:left w:val="single" w:sz="4" w:space="0" w:color="000000"/>
              <w:bottom w:val="single" w:sz="4" w:space="0" w:color="000000"/>
              <w:right w:val="nil"/>
            </w:tcBorders>
            <w:shd w:val="clear" w:color="auto" w:fill="auto"/>
            <w:hideMark/>
          </w:tcPr>
          <w:p w14:paraId="7088B452" w14:textId="37E54852" w:rsidR="00E35EB0" w:rsidRPr="0057086A" w:rsidRDefault="00E35EB0" w:rsidP="00E35EB0">
            <w:pPr>
              <w:spacing w:line="240" w:lineRule="exact"/>
              <w:jc w:val="both"/>
              <w:rPr>
                <w:rFonts w:cs="Arial"/>
                <w:bCs/>
              </w:rPr>
            </w:pPr>
            <w:proofErr w:type="spellStart"/>
            <w:r w:rsidRPr="009B4FEF">
              <w:t>xxx,xx</w:t>
            </w:r>
            <w:proofErr w:type="spellEnd"/>
          </w:p>
        </w:tc>
        <w:tc>
          <w:tcPr>
            <w:tcW w:w="542" w:type="pct"/>
            <w:tcBorders>
              <w:top w:val="nil"/>
              <w:left w:val="single" w:sz="4" w:space="0" w:color="000000"/>
              <w:bottom w:val="single" w:sz="4" w:space="0" w:color="000000"/>
              <w:right w:val="nil"/>
            </w:tcBorders>
            <w:shd w:val="clear" w:color="auto" w:fill="auto"/>
            <w:hideMark/>
          </w:tcPr>
          <w:p w14:paraId="477A93FE" w14:textId="0F80D2D8" w:rsidR="00E35EB0" w:rsidRPr="0057086A" w:rsidRDefault="00E35EB0" w:rsidP="00E35EB0">
            <w:pPr>
              <w:spacing w:line="240" w:lineRule="exact"/>
              <w:jc w:val="both"/>
              <w:rPr>
                <w:rFonts w:cs="Arial"/>
                <w:bCs/>
              </w:rPr>
            </w:pPr>
            <w:proofErr w:type="spellStart"/>
            <w:r w:rsidRPr="009B4FEF">
              <w:t>xxx,xx</w:t>
            </w:r>
            <w:proofErr w:type="spellEnd"/>
          </w:p>
        </w:tc>
        <w:tc>
          <w:tcPr>
            <w:tcW w:w="542" w:type="pct"/>
            <w:tcBorders>
              <w:top w:val="nil"/>
              <w:left w:val="single" w:sz="4" w:space="0" w:color="000000"/>
              <w:bottom w:val="single" w:sz="4" w:space="0" w:color="000000"/>
              <w:right w:val="nil"/>
            </w:tcBorders>
            <w:shd w:val="clear" w:color="auto" w:fill="auto"/>
            <w:hideMark/>
          </w:tcPr>
          <w:p w14:paraId="448C47D2" w14:textId="227E4AFB" w:rsidR="00E35EB0" w:rsidRPr="0057086A" w:rsidRDefault="00E35EB0" w:rsidP="00E35EB0">
            <w:pPr>
              <w:spacing w:line="240" w:lineRule="exact"/>
              <w:jc w:val="both"/>
              <w:rPr>
                <w:rFonts w:cs="Arial"/>
                <w:bCs/>
              </w:rPr>
            </w:pPr>
            <w:proofErr w:type="spellStart"/>
            <w:r w:rsidRPr="009B4FEF">
              <w:t>xxx,xx</w:t>
            </w:r>
            <w:proofErr w:type="spellEnd"/>
          </w:p>
        </w:tc>
        <w:tc>
          <w:tcPr>
            <w:tcW w:w="852" w:type="pct"/>
            <w:tcBorders>
              <w:top w:val="nil"/>
              <w:left w:val="single" w:sz="4" w:space="0" w:color="000000"/>
              <w:bottom w:val="single" w:sz="4" w:space="0" w:color="000000"/>
              <w:right w:val="nil"/>
            </w:tcBorders>
            <w:shd w:val="clear" w:color="auto" w:fill="auto"/>
            <w:hideMark/>
          </w:tcPr>
          <w:p w14:paraId="54AC273E" w14:textId="00391F7B" w:rsidR="00E35EB0" w:rsidRPr="0057086A" w:rsidRDefault="00E35EB0" w:rsidP="00E35EB0">
            <w:pPr>
              <w:spacing w:line="240" w:lineRule="exact"/>
              <w:jc w:val="both"/>
              <w:rPr>
                <w:rFonts w:cs="Arial"/>
                <w:bCs/>
              </w:rPr>
            </w:pPr>
            <w:proofErr w:type="spellStart"/>
            <w:r w:rsidRPr="009B4FEF">
              <w:t>xxx,xx</w:t>
            </w:r>
            <w:proofErr w:type="spellEnd"/>
          </w:p>
        </w:tc>
        <w:tc>
          <w:tcPr>
            <w:tcW w:w="665" w:type="pct"/>
            <w:tcBorders>
              <w:top w:val="nil"/>
              <w:left w:val="single" w:sz="4" w:space="0" w:color="000000"/>
              <w:bottom w:val="single" w:sz="4" w:space="0" w:color="000000"/>
              <w:right w:val="single" w:sz="4" w:space="0" w:color="auto"/>
            </w:tcBorders>
            <w:shd w:val="clear" w:color="auto" w:fill="auto"/>
            <w:hideMark/>
          </w:tcPr>
          <w:p w14:paraId="6B6A5B33" w14:textId="0B0B8B86" w:rsidR="00E35EB0" w:rsidRPr="0057086A" w:rsidRDefault="00E35EB0" w:rsidP="00E35EB0">
            <w:pPr>
              <w:spacing w:line="240" w:lineRule="exact"/>
              <w:jc w:val="both"/>
              <w:rPr>
                <w:rFonts w:cs="Arial"/>
                <w:bCs/>
              </w:rPr>
            </w:pPr>
            <w:proofErr w:type="spellStart"/>
            <w:r w:rsidRPr="009B4FEF">
              <w:t>xxx,xx</w:t>
            </w:r>
            <w:proofErr w:type="spellEnd"/>
          </w:p>
        </w:tc>
      </w:tr>
    </w:tbl>
    <w:p w14:paraId="3FBCE09E" w14:textId="77777777" w:rsidR="00A01AC3" w:rsidRPr="0057086A" w:rsidRDefault="00A01AC3" w:rsidP="00A01AC3">
      <w:pPr>
        <w:spacing w:line="240" w:lineRule="exact"/>
        <w:jc w:val="both"/>
        <w:rPr>
          <w:rFonts w:cs="Arial"/>
          <w:bCs/>
        </w:rPr>
      </w:pPr>
    </w:p>
    <w:p w14:paraId="4C01F074" w14:textId="77777777" w:rsidR="00A01AC3" w:rsidRPr="0057086A" w:rsidRDefault="00A01AC3" w:rsidP="00A01AC3">
      <w:pPr>
        <w:spacing w:line="240" w:lineRule="exact"/>
        <w:jc w:val="both"/>
        <w:rPr>
          <w:rFonts w:cs="Arial"/>
          <w:bCs/>
        </w:rPr>
      </w:pPr>
    </w:p>
    <w:tbl>
      <w:tblPr>
        <w:tblW w:w="5003" w:type="pct"/>
        <w:tblCellMar>
          <w:left w:w="70" w:type="dxa"/>
          <w:right w:w="70" w:type="dxa"/>
        </w:tblCellMar>
        <w:tblLook w:val="04A0" w:firstRow="1" w:lastRow="0" w:firstColumn="1" w:lastColumn="0" w:noHBand="0" w:noVBand="1"/>
      </w:tblPr>
      <w:tblGrid>
        <w:gridCol w:w="1226"/>
        <w:gridCol w:w="1226"/>
        <w:gridCol w:w="1226"/>
        <w:gridCol w:w="1128"/>
        <w:gridCol w:w="1305"/>
        <w:gridCol w:w="1226"/>
        <w:gridCol w:w="1226"/>
        <w:gridCol w:w="1071"/>
      </w:tblGrid>
      <w:tr w:rsidR="00A01AC3" w:rsidRPr="00FE012B" w14:paraId="7F536663" w14:textId="77777777" w:rsidTr="00FE012B">
        <w:trPr>
          <w:trHeight w:val="255"/>
        </w:trPr>
        <w:tc>
          <w:tcPr>
            <w:tcW w:w="636" w:type="pct"/>
            <w:tcBorders>
              <w:top w:val="single" w:sz="4" w:space="0" w:color="000000"/>
              <w:left w:val="single" w:sz="4" w:space="0" w:color="000000"/>
              <w:bottom w:val="single" w:sz="4" w:space="0" w:color="000000"/>
              <w:right w:val="nil"/>
            </w:tcBorders>
            <w:shd w:val="clear" w:color="auto" w:fill="auto"/>
            <w:hideMark/>
          </w:tcPr>
          <w:p w14:paraId="017270EE" w14:textId="69821478" w:rsidR="00A01AC3" w:rsidRPr="00FE012B" w:rsidRDefault="00A01AC3" w:rsidP="00DF753A">
            <w:pPr>
              <w:spacing w:line="240" w:lineRule="exact"/>
              <w:jc w:val="both"/>
              <w:rPr>
                <w:rFonts w:cs="Arial"/>
                <w:bCs/>
                <w:lang w:val="en-US"/>
              </w:rPr>
            </w:pPr>
            <w:r w:rsidRPr="00FE012B">
              <w:rPr>
                <w:rFonts w:cs="Arial"/>
                <w:bCs/>
              </w:rPr>
              <w:t>12/202</w:t>
            </w:r>
            <w:r w:rsidR="00B93816" w:rsidRPr="00FE012B">
              <w:rPr>
                <w:rFonts w:cs="Arial"/>
                <w:bCs/>
                <w:lang w:val="en-US"/>
              </w:rPr>
              <w:t>2</w:t>
            </w:r>
          </w:p>
        </w:tc>
        <w:tc>
          <w:tcPr>
            <w:tcW w:w="636" w:type="pct"/>
            <w:tcBorders>
              <w:top w:val="single" w:sz="4" w:space="0" w:color="000000"/>
              <w:left w:val="single" w:sz="4" w:space="0" w:color="000000"/>
              <w:bottom w:val="single" w:sz="4" w:space="0" w:color="000000"/>
              <w:right w:val="nil"/>
            </w:tcBorders>
            <w:shd w:val="clear" w:color="auto" w:fill="auto"/>
            <w:hideMark/>
          </w:tcPr>
          <w:p w14:paraId="1E630553" w14:textId="56589789" w:rsidR="00A01AC3" w:rsidRPr="00FE012B" w:rsidRDefault="00A01AC3" w:rsidP="00DF753A">
            <w:pPr>
              <w:spacing w:line="240" w:lineRule="exact"/>
              <w:jc w:val="both"/>
              <w:rPr>
                <w:rFonts w:cs="Arial"/>
                <w:bCs/>
                <w:lang w:val="en-US"/>
              </w:rPr>
            </w:pPr>
            <w:r w:rsidRPr="00FE012B">
              <w:rPr>
                <w:rFonts w:cs="Arial"/>
                <w:bCs/>
              </w:rPr>
              <w:t>01/202</w:t>
            </w:r>
            <w:r w:rsidR="00B93816" w:rsidRPr="00FE012B">
              <w:rPr>
                <w:rFonts w:cs="Arial"/>
                <w:bCs/>
                <w:lang w:val="en-US"/>
              </w:rPr>
              <w:t>3</w:t>
            </w:r>
          </w:p>
        </w:tc>
        <w:tc>
          <w:tcPr>
            <w:tcW w:w="636" w:type="pct"/>
            <w:tcBorders>
              <w:top w:val="single" w:sz="4" w:space="0" w:color="000000"/>
              <w:left w:val="single" w:sz="4" w:space="0" w:color="000000"/>
              <w:bottom w:val="single" w:sz="4" w:space="0" w:color="000000"/>
              <w:right w:val="nil"/>
            </w:tcBorders>
            <w:shd w:val="clear" w:color="auto" w:fill="auto"/>
            <w:hideMark/>
          </w:tcPr>
          <w:p w14:paraId="57CFF0BB" w14:textId="497FBE24" w:rsidR="00A01AC3" w:rsidRPr="00FE012B" w:rsidRDefault="00A01AC3" w:rsidP="00DF753A">
            <w:pPr>
              <w:spacing w:line="240" w:lineRule="exact"/>
              <w:jc w:val="both"/>
              <w:rPr>
                <w:rFonts w:cs="Arial"/>
                <w:bCs/>
                <w:lang w:val="en-US"/>
              </w:rPr>
            </w:pPr>
            <w:r w:rsidRPr="00FE012B">
              <w:rPr>
                <w:rFonts w:cs="Arial"/>
                <w:bCs/>
              </w:rPr>
              <w:t>02/202</w:t>
            </w:r>
            <w:r w:rsidR="00B93816" w:rsidRPr="00FE012B">
              <w:rPr>
                <w:rFonts w:cs="Arial"/>
                <w:bCs/>
                <w:lang w:val="en-US"/>
              </w:rPr>
              <w:t>3</w:t>
            </w:r>
          </w:p>
        </w:tc>
        <w:tc>
          <w:tcPr>
            <w:tcW w:w="585" w:type="pct"/>
            <w:tcBorders>
              <w:top w:val="single" w:sz="4" w:space="0" w:color="000000"/>
              <w:left w:val="single" w:sz="4" w:space="0" w:color="000000"/>
              <w:bottom w:val="single" w:sz="4" w:space="0" w:color="000000"/>
              <w:right w:val="nil"/>
            </w:tcBorders>
            <w:shd w:val="clear" w:color="auto" w:fill="auto"/>
            <w:hideMark/>
          </w:tcPr>
          <w:p w14:paraId="5F532863" w14:textId="6DF84D22" w:rsidR="00A01AC3" w:rsidRPr="00FE012B" w:rsidRDefault="00A01AC3" w:rsidP="00DF753A">
            <w:pPr>
              <w:spacing w:line="240" w:lineRule="exact"/>
              <w:jc w:val="both"/>
              <w:rPr>
                <w:rFonts w:cs="Arial"/>
                <w:bCs/>
                <w:lang w:val="en-US"/>
              </w:rPr>
            </w:pPr>
            <w:r w:rsidRPr="00FE012B">
              <w:rPr>
                <w:rFonts w:cs="Arial"/>
                <w:bCs/>
              </w:rPr>
              <w:t>03/202</w:t>
            </w:r>
            <w:r w:rsidR="00B93816" w:rsidRPr="00FE012B">
              <w:rPr>
                <w:rFonts w:cs="Arial"/>
                <w:bCs/>
                <w:lang w:val="en-US"/>
              </w:rPr>
              <w:t>3</w:t>
            </w:r>
          </w:p>
        </w:tc>
        <w:tc>
          <w:tcPr>
            <w:tcW w:w="677" w:type="pct"/>
            <w:tcBorders>
              <w:top w:val="single" w:sz="4" w:space="0" w:color="000000"/>
              <w:left w:val="single" w:sz="4" w:space="0" w:color="000000"/>
              <w:bottom w:val="single" w:sz="4" w:space="0" w:color="000000"/>
              <w:right w:val="nil"/>
            </w:tcBorders>
            <w:shd w:val="clear" w:color="auto" w:fill="auto"/>
            <w:hideMark/>
          </w:tcPr>
          <w:p w14:paraId="14413615" w14:textId="3AC7B522" w:rsidR="00A01AC3" w:rsidRPr="00FE012B" w:rsidRDefault="00A01AC3" w:rsidP="00DF753A">
            <w:pPr>
              <w:spacing w:line="240" w:lineRule="exact"/>
              <w:jc w:val="both"/>
              <w:rPr>
                <w:rFonts w:cs="Arial"/>
                <w:bCs/>
                <w:lang w:val="en-US"/>
              </w:rPr>
            </w:pPr>
            <w:r w:rsidRPr="00FE012B">
              <w:rPr>
                <w:rFonts w:cs="Arial"/>
                <w:bCs/>
              </w:rPr>
              <w:t>04/202</w:t>
            </w:r>
            <w:r w:rsidR="00B93816" w:rsidRPr="00FE012B">
              <w:rPr>
                <w:rFonts w:cs="Arial"/>
                <w:bCs/>
                <w:lang w:val="en-US"/>
              </w:rPr>
              <w:t>3</w:t>
            </w:r>
          </w:p>
        </w:tc>
        <w:tc>
          <w:tcPr>
            <w:tcW w:w="636" w:type="pct"/>
            <w:tcBorders>
              <w:top w:val="single" w:sz="4" w:space="0" w:color="000000"/>
              <w:left w:val="single" w:sz="4" w:space="0" w:color="000000"/>
              <w:bottom w:val="single" w:sz="4" w:space="0" w:color="000000"/>
              <w:right w:val="nil"/>
            </w:tcBorders>
            <w:shd w:val="clear" w:color="auto" w:fill="auto"/>
            <w:hideMark/>
          </w:tcPr>
          <w:p w14:paraId="24C48E7C" w14:textId="392A7C0E" w:rsidR="00A01AC3" w:rsidRPr="00FE012B" w:rsidRDefault="00A01AC3" w:rsidP="00DF753A">
            <w:pPr>
              <w:spacing w:line="240" w:lineRule="exact"/>
              <w:jc w:val="both"/>
              <w:rPr>
                <w:rFonts w:cs="Arial"/>
                <w:bCs/>
                <w:lang w:val="en-US"/>
              </w:rPr>
            </w:pPr>
            <w:r w:rsidRPr="00FE012B">
              <w:rPr>
                <w:rFonts w:cs="Arial"/>
                <w:bCs/>
              </w:rPr>
              <w:t>05/202</w:t>
            </w:r>
            <w:r w:rsidR="00B93816" w:rsidRPr="00FE012B">
              <w:rPr>
                <w:rFonts w:cs="Arial"/>
                <w:bCs/>
                <w:lang w:val="en-US"/>
              </w:rPr>
              <w:t>3</w:t>
            </w:r>
          </w:p>
        </w:tc>
        <w:tc>
          <w:tcPr>
            <w:tcW w:w="636" w:type="pct"/>
            <w:tcBorders>
              <w:top w:val="single" w:sz="4" w:space="0" w:color="000000"/>
              <w:left w:val="single" w:sz="4" w:space="0" w:color="000000"/>
              <w:bottom w:val="single" w:sz="4" w:space="0" w:color="000000"/>
              <w:right w:val="nil"/>
            </w:tcBorders>
            <w:shd w:val="clear" w:color="auto" w:fill="auto"/>
            <w:hideMark/>
          </w:tcPr>
          <w:p w14:paraId="239AF022" w14:textId="6C886F39" w:rsidR="00A01AC3" w:rsidRPr="00FE012B" w:rsidRDefault="00A01AC3" w:rsidP="00DF753A">
            <w:pPr>
              <w:spacing w:line="240" w:lineRule="exact"/>
              <w:jc w:val="both"/>
              <w:rPr>
                <w:rFonts w:cs="Arial"/>
                <w:bCs/>
                <w:lang w:val="en-US"/>
              </w:rPr>
            </w:pPr>
            <w:r w:rsidRPr="00FE012B">
              <w:rPr>
                <w:rFonts w:cs="Arial"/>
                <w:bCs/>
              </w:rPr>
              <w:t>06/202</w:t>
            </w:r>
            <w:r w:rsidR="00B93816" w:rsidRPr="00FE012B">
              <w:rPr>
                <w:rFonts w:cs="Arial"/>
                <w:bCs/>
                <w:lang w:val="en-US"/>
              </w:rPr>
              <w:t>3</w:t>
            </w:r>
          </w:p>
        </w:tc>
        <w:tc>
          <w:tcPr>
            <w:tcW w:w="556" w:type="pct"/>
            <w:tcBorders>
              <w:top w:val="single" w:sz="4" w:space="0" w:color="000000"/>
              <w:left w:val="single" w:sz="4" w:space="0" w:color="000000"/>
              <w:bottom w:val="single" w:sz="4" w:space="0" w:color="000000"/>
              <w:right w:val="single" w:sz="4" w:space="0" w:color="auto"/>
            </w:tcBorders>
            <w:shd w:val="clear" w:color="auto" w:fill="auto"/>
            <w:hideMark/>
          </w:tcPr>
          <w:p w14:paraId="09FB0DF7" w14:textId="77777777" w:rsidR="00A01AC3" w:rsidRPr="00FE012B" w:rsidRDefault="00A01AC3" w:rsidP="00DF753A">
            <w:pPr>
              <w:spacing w:line="240" w:lineRule="exact"/>
              <w:jc w:val="both"/>
              <w:rPr>
                <w:rFonts w:cs="Arial"/>
                <w:b/>
                <w:bCs/>
              </w:rPr>
            </w:pPr>
            <w:r w:rsidRPr="00FE012B">
              <w:rPr>
                <w:rFonts w:cs="Arial"/>
                <w:b/>
                <w:bCs/>
              </w:rPr>
              <w:t>Общо:</w:t>
            </w:r>
          </w:p>
        </w:tc>
      </w:tr>
      <w:tr w:rsidR="00E35EB0" w:rsidRPr="00FE012B" w14:paraId="1D1E60F2" w14:textId="77777777" w:rsidTr="00FE012B">
        <w:trPr>
          <w:trHeight w:val="255"/>
        </w:trPr>
        <w:tc>
          <w:tcPr>
            <w:tcW w:w="636" w:type="pct"/>
            <w:tcBorders>
              <w:top w:val="single" w:sz="4" w:space="0" w:color="000000"/>
              <w:left w:val="single" w:sz="4" w:space="0" w:color="000000"/>
              <w:bottom w:val="single" w:sz="4" w:space="0" w:color="000000"/>
              <w:right w:val="nil"/>
            </w:tcBorders>
            <w:shd w:val="clear" w:color="auto" w:fill="auto"/>
            <w:hideMark/>
          </w:tcPr>
          <w:p w14:paraId="3D8BE3DE" w14:textId="5D19E354" w:rsidR="00E35EB0" w:rsidRPr="00FE012B" w:rsidRDefault="00E35EB0" w:rsidP="00E35EB0">
            <w:pPr>
              <w:spacing w:line="240" w:lineRule="exact"/>
              <w:jc w:val="both"/>
              <w:rPr>
                <w:rFonts w:cs="Arial"/>
                <w:bCs/>
              </w:rPr>
            </w:pPr>
            <w:r w:rsidRPr="00F94B66">
              <w:t xml:space="preserve">xxx </w:t>
            </w:r>
            <w:proofErr w:type="spellStart"/>
            <w:r w:rsidRPr="00F94B66">
              <w:t>xxx</w:t>
            </w:r>
            <w:proofErr w:type="spellEnd"/>
          </w:p>
        </w:tc>
        <w:tc>
          <w:tcPr>
            <w:tcW w:w="636" w:type="pct"/>
            <w:tcBorders>
              <w:top w:val="single" w:sz="4" w:space="0" w:color="000000"/>
              <w:left w:val="single" w:sz="4" w:space="0" w:color="000000"/>
              <w:bottom w:val="single" w:sz="4" w:space="0" w:color="000000"/>
              <w:right w:val="nil"/>
            </w:tcBorders>
            <w:shd w:val="clear" w:color="auto" w:fill="auto"/>
            <w:hideMark/>
          </w:tcPr>
          <w:p w14:paraId="3AB197E3" w14:textId="517FCA94" w:rsidR="00E35EB0" w:rsidRPr="00FE012B" w:rsidRDefault="00E35EB0" w:rsidP="00E35EB0">
            <w:pPr>
              <w:spacing w:line="240" w:lineRule="exact"/>
              <w:jc w:val="both"/>
              <w:rPr>
                <w:rFonts w:cs="Arial"/>
                <w:bCs/>
              </w:rPr>
            </w:pPr>
            <w:r w:rsidRPr="00F94B66">
              <w:t xml:space="preserve">xxx </w:t>
            </w:r>
            <w:proofErr w:type="spellStart"/>
            <w:r w:rsidRPr="00F94B66">
              <w:t>xxx</w:t>
            </w:r>
            <w:proofErr w:type="spellEnd"/>
          </w:p>
        </w:tc>
        <w:tc>
          <w:tcPr>
            <w:tcW w:w="636" w:type="pct"/>
            <w:tcBorders>
              <w:top w:val="single" w:sz="4" w:space="0" w:color="000000"/>
              <w:left w:val="single" w:sz="4" w:space="0" w:color="000000"/>
              <w:bottom w:val="single" w:sz="4" w:space="0" w:color="000000"/>
              <w:right w:val="nil"/>
            </w:tcBorders>
            <w:shd w:val="clear" w:color="auto" w:fill="auto"/>
            <w:hideMark/>
          </w:tcPr>
          <w:p w14:paraId="4A1CA9F1" w14:textId="34709BB7" w:rsidR="00E35EB0" w:rsidRPr="00FE012B" w:rsidRDefault="00E35EB0" w:rsidP="00E35EB0">
            <w:pPr>
              <w:spacing w:line="240" w:lineRule="exact"/>
              <w:jc w:val="both"/>
              <w:rPr>
                <w:rFonts w:cs="Arial"/>
                <w:bCs/>
              </w:rPr>
            </w:pPr>
            <w:r w:rsidRPr="00F94B66">
              <w:t>xx xxx</w:t>
            </w:r>
          </w:p>
        </w:tc>
        <w:tc>
          <w:tcPr>
            <w:tcW w:w="585" w:type="pct"/>
            <w:tcBorders>
              <w:top w:val="single" w:sz="4" w:space="0" w:color="000000"/>
              <w:left w:val="single" w:sz="4" w:space="0" w:color="000000"/>
              <w:bottom w:val="single" w:sz="4" w:space="0" w:color="000000"/>
              <w:right w:val="nil"/>
            </w:tcBorders>
            <w:shd w:val="clear" w:color="auto" w:fill="auto"/>
            <w:hideMark/>
          </w:tcPr>
          <w:p w14:paraId="48B07185" w14:textId="666A62CC" w:rsidR="00E35EB0" w:rsidRPr="00FE012B" w:rsidRDefault="00E35EB0" w:rsidP="00E35EB0">
            <w:pPr>
              <w:spacing w:line="240" w:lineRule="exact"/>
              <w:jc w:val="both"/>
              <w:rPr>
                <w:rFonts w:cs="Arial"/>
                <w:bCs/>
              </w:rPr>
            </w:pPr>
            <w:r w:rsidRPr="00F94B66">
              <w:t>xx xxx</w:t>
            </w:r>
          </w:p>
        </w:tc>
        <w:tc>
          <w:tcPr>
            <w:tcW w:w="677" w:type="pct"/>
            <w:tcBorders>
              <w:top w:val="single" w:sz="4" w:space="0" w:color="000000"/>
              <w:left w:val="single" w:sz="4" w:space="0" w:color="000000"/>
              <w:bottom w:val="single" w:sz="4" w:space="0" w:color="000000"/>
              <w:right w:val="nil"/>
            </w:tcBorders>
            <w:shd w:val="clear" w:color="auto" w:fill="auto"/>
            <w:hideMark/>
          </w:tcPr>
          <w:p w14:paraId="33FFD588" w14:textId="7F2CDC43" w:rsidR="00E35EB0" w:rsidRPr="00FE012B" w:rsidRDefault="00E35EB0" w:rsidP="00E35EB0">
            <w:pPr>
              <w:spacing w:line="240" w:lineRule="exact"/>
              <w:jc w:val="both"/>
              <w:rPr>
                <w:rFonts w:cs="Arial"/>
                <w:bCs/>
              </w:rPr>
            </w:pPr>
            <w:r w:rsidRPr="00F94B66">
              <w:t>xx xxx</w:t>
            </w:r>
          </w:p>
        </w:tc>
        <w:tc>
          <w:tcPr>
            <w:tcW w:w="636" w:type="pct"/>
            <w:tcBorders>
              <w:top w:val="single" w:sz="4" w:space="0" w:color="000000"/>
              <w:left w:val="single" w:sz="4" w:space="0" w:color="000000"/>
              <w:bottom w:val="single" w:sz="4" w:space="0" w:color="000000"/>
              <w:right w:val="nil"/>
            </w:tcBorders>
            <w:shd w:val="clear" w:color="auto" w:fill="auto"/>
            <w:hideMark/>
          </w:tcPr>
          <w:p w14:paraId="78AF908E" w14:textId="7B619BA6" w:rsidR="00E35EB0" w:rsidRPr="00FE012B" w:rsidRDefault="00E35EB0" w:rsidP="00E35EB0">
            <w:pPr>
              <w:spacing w:line="240" w:lineRule="exact"/>
              <w:jc w:val="both"/>
              <w:rPr>
                <w:rFonts w:cs="Arial"/>
                <w:bCs/>
              </w:rPr>
            </w:pPr>
            <w:r w:rsidRPr="00F94B66">
              <w:t>xx xxx</w:t>
            </w:r>
          </w:p>
        </w:tc>
        <w:tc>
          <w:tcPr>
            <w:tcW w:w="636" w:type="pct"/>
            <w:tcBorders>
              <w:top w:val="single" w:sz="4" w:space="0" w:color="000000"/>
              <w:left w:val="single" w:sz="4" w:space="0" w:color="000000"/>
              <w:bottom w:val="single" w:sz="4" w:space="0" w:color="000000"/>
              <w:right w:val="nil"/>
            </w:tcBorders>
            <w:shd w:val="clear" w:color="auto" w:fill="auto"/>
            <w:hideMark/>
          </w:tcPr>
          <w:p w14:paraId="024982BD" w14:textId="2C1A55A1" w:rsidR="00E35EB0" w:rsidRPr="00FE012B" w:rsidRDefault="00E35EB0" w:rsidP="00E35EB0">
            <w:pPr>
              <w:spacing w:line="240" w:lineRule="exact"/>
              <w:jc w:val="both"/>
              <w:rPr>
                <w:rFonts w:cs="Arial"/>
                <w:bCs/>
              </w:rPr>
            </w:pPr>
            <w:r w:rsidRPr="00F94B66">
              <w:t>xx xxx</w:t>
            </w:r>
          </w:p>
        </w:tc>
        <w:tc>
          <w:tcPr>
            <w:tcW w:w="556" w:type="pct"/>
            <w:tcBorders>
              <w:top w:val="single" w:sz="4" w:space="0" w:color="000000"/>
              <w:left w:val="single" w:sz="4" w:space="0" w:color="000000"/>
              <w:bottom w:val="single" w:sz="4" w:space="0" w:color="000000"/>
              <w:right w:val="single" w:sz="4" w:space="0" w:color="auto"/>
            </w:tcBorders>
            <w:shd w:val="clear" w:color="auto" w:fill="auto"/>
            <w:hideMark/>
          </w:tcPr>
          <w:p w14:paraId="5929368B" w14:textId="6EA23340" w:rsidR="00E35EB0" w:rsidRPr="00E35EB0" w:rsidRDefault="00E35EB0" w:rsidP="00E35EB0">
            <w:pPr>
              <w:spacing w:line="240" w:lineRule="exact"/>
              <w:jc w:val="both"/>
              <w:rPr>
                <w:rFonts w:cs="Arial"/>
                <w:b/>
                <w:bCs/>
                <w:lang w:val="en-US"/>
              </w:rPr>
            </w:pPr>
            <w:r w:rsidRPr="00E35EB0">
              <w:rPr>
                <w:b/>
                <w:bCs/>
              </w:rPr>
              <w:t xml:space="preserve">xxx </w:t>
            </w:r>
            <w:proofErr w:type="spellStart"/>
            <w:r w:rsidRPr="00E35EB0">
              <w:rPr>
                <w:b/>
                <w:bCs/>
              </w:rPr>
              <w:t>xxx,xx</w:t>
            </w:r>
            <w:proofErr w:type="spellEnd"/>
          </w:p>
        </w:tc>
      </w:tr>
      <w:tr w:rsidR="00E35EB0" w:rsidRPr="00FE012B" w14:paraId="4DF2E557" w14:textId="77777777" w:rsidTr="00FE012B">
        <w:trPr>
          <w:trHeight w:val="255"/>
        </w:trPr>
        <w:tc>
          <w:tcPr>
            <w:tcW w:w="636" w:type="pct"/>
            <w:tcBorders>
              <w:top w:val="nil"/>
              <w:left w:val="single" w:sz="4" w:space="0" w:color="000000"/>
              <w:bottom w:val="single" w:sz="4" w:space="0" w:color="000000"/>
              <w:right w:val="nil"/>
            </w:tcBorders>
            <w:shd w:val="clear" w:color="auto" w:fill="auto"/>
            <w:hideMark/>
          </w:tcPr>
          <w:p w14:paraId="3179E45B" w14:textId="72B6283D" w:rsidR="00E35EB0" w:rsidRPr="00FE012B" w:rsidRDefault="00E35EB0" w:rsidP="00E35EB0">
            <w:pPr>
              <w:spacing w:line="240" w:lineRule="exact"/>
              <w:jc w:val="both"/>
              <w:rPr>
                <w:rFonts w:cs="Arial"/>
                <w:bCs/>
              </w:rPr>
            </w:pP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2C3A32A1" w14:textId="1D78FB3A" w:rsidR="00E35EB0" w:rsidRPr="00FE012B" w:rsidRDefault="00E35EB0" w:rsidP="00E35EB0">
            <w:pPr>
              <w:spacing w:line="240" w:lineRule="exact"/>
              <w:jc w:val="both"/>
              <w:rPr>
                <w:rFonts w:cs="Arial"/>
                <w:bCs/>
              </w:rPr>
            </w:pP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4FB50D79" w14:textId="58C356C3" w:rsidR="00E35EB0" w:rsidRPr="00FE012B" w:rsidRDefault="00E35EB0" w:rsidP="00E35EB0">
            <w:pPr>
              <w:spacing w:line="240" w:lineRule="exact"/>
              <w:jc w:val="both"/>
              <w:rPr>
                <w:rFonts w:cs="Arial"/>
                <w:bCs/>
              </w:rPr>
            </w:pPr>
            <w:proofErr w:type="spellStart"/>
            <w:r w:rsidRPr="00F94B66">
              <w:t>xxx,xx</w:t>
            </w:r>
            <w:proofErr w:type="spellEnd"/>
          </w:p>
        </w:tc>
        <w:tc>
          <w:tcPr>
            <w:tcW w:w="585" w:type="pct"/>
            <w:tcBorders>
              <w:top w:val="nil"/>
              <w:left w:val="single" w:sz="4" w:space="0" w:color="000000"/>
              <w:bottom w:val="single" w:sz="4" w:space="0" w:color="000000"/>
              <w:right w:val="nil"/>
            </w:tcBorders>
            <w:shd w:val="clear" w:color="auto" w:fill="auto"/>
            <w:hideMark/>
          </w:tcPr>
          <w:p w14:paraId="6FD2C3A1" w14:textId="4DD7A844" w:rsidR="00E35EB0" w:rsidRPr="00FE012B" w:rsidRDefault="00E35EB0" w:rsidP="00E35EB0">
            <w:pPr>
              <w:spacing w:line="240" w:lineRule="exact"/>
              <w:jc w:val="both"/>
              <w:rPr>
                <w:rFonts w:cs="Arial"/>
                <w:bCs/>
              </w:rPr>
            </w:pPr>
            <w:proofErr w:type="spellStart"/>
            <w:r w:rsidRPr="00F94B66">
              <w:t>xxx,xx</w:t>
            </w:r>
            <w:proofErr w:type="spellEnd"/>
          </w:p>
        </w:tc>
        <w:tc>
          <w:tcPr>
            <w:tcW w:w="677" w:type="pct"/>
            <w:tcBorders>
              <w:top w:val="nil"/>
              <w:left w:val="single" w:sz="4" w:space="0" w:color="000000"/>
              <w:bottom w:val="single" w:sz="4" w:space="0" w:color="000000"/>
              <w:right w:val="nil"/>
            </w:tcBorders>
            <w:shd w:val="clear" w:color="auto" w:fill="auto"/>
            <w:hideMark/>
          </w:tcPr>
          <w:p w14:paraId="03A7EE2E" w14:textId="0AECD4F5" w:rsidR="00E35EB0" w:rsidRPr="00FE012B" w:rsidRDefault="00E35EB0" w:rsidP="00E35EB0">
            <w:pPr>
              <w:spacing w:line="240" w:lineRule="exact"/>
              <w:jc w:val="both"/>
              <w:rPr>
                <w:rFonts w:cs="Arial"/>
                <w:bCs/>
              </w:rPr>
            </w:pP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5C690365" w14:textId="6A0E98CF" w:rsidR="00E35EB0" w:rsidRPr="00FE012B" w:rsidRDefault="00E35EB0" w:rsidP="00E35EB0">
            <w:pPr>
              <w:spacing w:line="240" w:lineRule="exact"/>
              <w:jc w:val="both"/>
              <w:rPr>
                <w:rFonts w:cs="Arial"/>
                <w:bCs/>
              </w:rPr>
            </w:pP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43B42BBB" w14:textId="76B08826" w:rsidR="00E35EB0" w:rsidRPr="00FE012B" w:rsidRDefault="00E35EB0" w:rsidP="00E35EB0">
            <w:pPr>
              <w:spacing w:line="240" w:lineRule="exact"/>
              <w:jc w:val="both"/>
              <w:rPr>
                <w:rFonts w:cs="Arial"/>
                <w:bCs/>
              </w:rPr>
            </w:pPr>
            <w:proofErr w:type="spellStart"/>
            <w:r w:rsidRPr="00F94B66">
              <w:t>xxx,xx</w:t>
            </w:r>
            <w:proofErr w:type="spellEnd"/>
          </w:p>
        </w:tc>
        <w:tc>
          <w:tcPr>
            <w:tcW w:w="556" w:type="pct"/>
            <w:tcBorders>
              <w:top w:val="nil"/>
              <w:left w:val="single" w:sz="4" w:space="0" w:color="000000"/>
              <w:bottom w:val="single" w:sz="4" w:space="0" w:color="000000"/>
              <w:right w:val="single" w:sz="4" w:space="0" w:color="auto"/>
            </w:tcBorders>
            <w:shd w:val="clear" w:color="auto" w:fill="auto"/>
            <w:hideMark/>
          </w:tcPr>
          <w:p w14:paraId="71FE904E" w14:textId="30B199A8" w:rsidR="00E35EB0" w:rsidRPr="00E35EB0" w:rsidRDefault="00E35EB0" w:rsidP="00E35EB0">
            <w:pPr>
              <w:spacing w:line="240" w:lineRule="exact"/>
              <w:jc w:val="both"/>
              <w:rPr>
                <w:rFonts w:cs="Arial"/>
                <w:b/>
                <w:bCs/>
              </w:rPr>
            </w:pPr>
            <w:proofErr w:type="spellStart"/>
            <w:r w:rsidRPr="00E35EB0">
              <w:rPr>
                <w:b/>
                <w:bCs/>
              </w:rPr>
              <w:t>xxx,xx</w:t>
            </w:r>
            <w:proofErr w:type="spellEnd"/>
          </w:p>
        </w:tc>
      </w:tr>
      <w:tr w:rsidR="00E35EB0" w:rsidRPr="00FE012B" w14:paraId="5848A667" w14:textId="77777777" w:rsidTr="00FE012B">
        <w:trPr>
          <w:trHeight w:val="255"/>
        </w:trPr>
        <w:tc>
          <w:tcPr>
            <w:tcW w:w="636" w:type="pct"/>
            <w:tcBorders>
              <w:top w:val="nil"/>
              <w:left w:val="single" w:sz="4" w:space="0" w:color="000000"/>
              <w:bottom w:val="single" w:sz="4" w:space="0" w:color="000000"/>
              <w:right w:val="nil"/>
            </w:tcBorders>
            <w:shd w:val="clear" w:color="auto" w:fill="auto"/>
            <w:hideMark/>
          </w:tcPr>
          <w:p w14:paraId="7A550EBF" w14:textId="19043CD5" w:rsidR="00E35EB0" w:rsidRPr="00FE012B" w:rsidRDefault="00E35EB0" w:rsidP="00E35EB0">
            <w:pPr>
              <w:spacing w:line="240" w:lineRule="exact"/>
              <w:jc w:val="both"/>
              <w:rPr>
                <w:rFonts w:cs="Arial"/>
                <w:bCs/>
              </w:rPr>
            </w:pP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2C23B4EB" w14:textId="215C71E8" w:rsidR="00E35EB0" w:rsidRPr="00FE012B" w:rsidRDefault="00E35EB0" w:rsidP="00E35EB0">
            <w:pPr>
              <w:spacing w:line="240" w:lineRule="exact"/>
              <w:jc w:val="both"/>
              <w:rPr>
                <w:rFonts w:cs="Arial"/>
                <w:bCs/>
              </w:rPr>
            </w:pP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70E054D7" w14:textId="4A0AB602" w:rsidR="00E35EB0" w:rsidRPr="00FE012B" w:rsidRDefault="00E35EB0" w:rsidP="00E35EB0">
            <w:pPr>
              <w:spacing w:line="240" w:lineRule="exact"/>
              <w:jc w:val="both"/>
              <w:rPr>
                <w:rFonts w:cs="Arial"/>
                <w:bCs/>
              </w:rPr>
            </w:pPr>
            <w:proofErr w:type="spellStart"/>
            <w:r w:rsidRPr="00F94B66">
              <w:t>xxx,xx</w:t>
            </w:r>
            <w:proofErr w:type="spellEnd"/>
          </w:p>
        </w:tc>
        <w:tc>
          <w:tcPr>
            <w:tcW w:w="585" w:type="pct"/>
            <w:tcBorders>
              <w:top w:val="nil"/>
              <w:left w:val="single" w:sz="4" w:space="0" w:color="000000"/>
              <w:bottom w:val="single" w:sz="4" w:space="0" w:color="000000"/>
              <w:right w:val="nil"/>
            </w:tcBorders>
            <w:shd w:val="clear" w:color="auto" w:fill="auto"/>
            <w:hideMark/>
          </w:tcPr>
          <w:p w14:paraId="6923A228" w14:textId="3537D8A9" w:rsidR="00E35EB0" w:rsidRPr="00FE012B" w:rsidRDefault="00E35EB0" w:rsidP="00E35EB0">
            <w:pPr>
              <w:spacing w:line="240" w:lineRule="exact"/>
              <w:jc w:val="both"/>
              <w:rPr>
                <w:rFonts w:cs="Arial"/>
                <w:bCs/>
              </w:rPr>
            </w:pPr>
            <w:proofErr w:type="spellStart"/>
            <w:r w:rsidRPr="00F94B66">
              <w:t>xxx,xx</w:t>
            </w:r>
            <w:proofErr w:type="spellEnd"/>
          </w:p>
        </w:tc>
        <w:tc>
          <w:tcPr>
            <w:tcW w:w="677" w:type="pct"/>
            <w:tcBorders>
              <w:top w:val="nil"/>
              <w:left w:val="single" w:sz="4" w:space="0" w:color="000000"/>
              <w:bottom w:val="single" w:sz="4" w:space="0" w:color="000000"/>
              <w:right w:val="nil"/>
            </w:tcBorders>
            <w:shd w:val="clear" w:color="auto" w:fill="auto"/>
            <w:hideMark/>
          </w:tcPr>
          <w:p w14:paraId="1710C1A9" w14:textId="4F00F450" w:rsidR="00E35EB0" w:rsidRPr="00FE012B" w:rsidRDefault="00E35EB0" w:rsidP="00E35EB0">
            <w:pPr>
              <w:spacing w:line="240" w:lineRule="exact"/>
              <w:jc w:val="both"/>
              <w:rPr>
                <w:rFonts w:cs="Arial"/>
                <w:bCs/>
              </w:rPr>
            </w:pPr>
            <w:proofErr w:type="spellStart"/>
            <w:r w:rsidRPr="00F94B66">
              <w:t>xx,xx</w:t>
            </w:r>
            <w:proofErr w:type="spellEnd"/>
          </w:p>
        </w:tc>
        <w:tc>
          <w:tcPr>
            <w:tcW w:w="636" w:type="pct"/>
            <w:tcBorders>
              <w:top w:val="nil"/>
              <w:left w:val="single" w:sz="4" w:space="0" w:color="000000"/>
              <w:bottom w:val="single" w:sz="4" w:space="0" w:color="000000"/>
              <w:right w:val="nil"/>
            </w:tcBorders>
            <w:shd w:val="clear" w:color="auto" w:fill="auto"/>
            <w:hideMark/>
          </w:tcPr>
          <w:p w14:paraId="78E21DCC" w14:textId="6A3BC8D4" w:rsidR="00E35EB0" w:rsidRPr="00FE012B" w:rsidRDefault="00E35EB0" w:rsidP="00E35EB0">
            <w:pPr>
              <w:spacing w:line="240" w:lineRule="exact"/>
              <w:jc w:val="both"/>
              <w:rPr>
                <w:rFonts w:cs="Arial"/>
                <w:bCs/>
              </w:rPr>
            </w:pPr>
            <w:proofErr w:type="spellStart"/>
            <w:r w:rsidRPr="00F94B66">
              <w:t>xx,xx</w:t>
            </w:r>
            <w:proofErr w:type="spellEnd"/>
          </w:p>
        </w:tc>
        <w:tc>
          <w:tcPr>
            <w:tcW w:w="636" w:type="pct"/>
            <w:tcBorders>
              <w:top w:val="nil"/>
              <w:left w:val="single" w:sz="4" w:space="0" w:color="000000"/>
              <w:bottom w:val="single" w:sz="4" w:space="0" w:color="000000"/>
              <w:right w:val="nil"/>
            </w:tcBorders>
            <w:shd w:val="clear" w:color="auto" w:fill="auto"/>
            <w:hideMark/>
          </w:tcPr>
          <w:p w14:paraId="159E1E29" w14:textId="633A4E7F" w:rsidR="00E35EB0" w:rsidRPr="00FE012B" w:rsidRDefault="00E35EB0" w:rsidP="00E35EB0">
            <w:pPr>
              <w:spacing w:line="240" w:lineRule="exact"/>
              <w:jc w:val="both"/>
              <w:rPr>
                <w:rFonts w:cs="Arial"/>
                <w:bCs/>
              </w:rPr>
            </w:pPr>
            <w:proofErr w:type="spellStart"/>
            <w:r w:rsidRPr="00F94B66">
              <w:t>xx,xx</w:t>
            </w:r>
            <w:proofErr w:type="spellEnd"/>
          </w:p>
        </w:tc>
        <w:tc>
          <w:tcPr>
            <w:tcW w:w="556" w:type="pct"/>
            <w:tcBorders>
              <w:top w:val="nil"/>
              <w:left w:val="single" w:sz="4" w:space="0" w:color="000000"/>
              <w:bottom w:val="single" w:sz="4" w:space="0" w:color="000000"/>
              <w:right w:val="single" w:sz="4" w:space="0" w:color="auto"/>
            </w:tcBorders>
            <w:shd w:val="clear" w:color="auto" w:fill="auto"/>
            <w:hideMark/>
          </w:tcPr>
          <w:p w14:paraId="6DF7D8E4" w14:textId="5AC05E81" w:rsidR="00E35EB0" w:rsidRPr="00E35EB0" w:rsidRDefault="00E35EB0" w:rsidP="00E35EB0">
            <w:pPr>
              <w:spacing w:line="240" w:lineRule="exact"/>
              <w:jc w:val="both"/>
              <w:rPr>
                <w:rFonts w:cs="Arial"/>
                <w:b/>
                <w:bCs/>
              </w:rPr>
            </w:pPr>
            <w:proofErr w:type="spellStart"/>
            <w:r w:rsidRPr="00E35EB0">
              <w:rPr>
                <w:b/>
                <w:bCs/>
              </w:rPr>
              <w:t>xxx,xx</w:t>
            </w:r>
            <w:proofErr w:type="spellEnd"/>
          </w:p>
        </w:tc>
      </w:tr>
      <w:tr w:rsidR="00E35EB0" w:rsidRPr="00FE012B" w14:paraId="05ED6432" w14:textId="77777777" w:rsidTr="00FE012B">
        <w:trPr>
          <w:trHeight w:val="255"/>
        </w:trPr>
        <w:tc>
          <w:tcPr>
            <w:tcW w:w="636" w:type="pct"/>
            <w:tcBorders>
              <w:top w:val="nil"/>
              <w:left w:val="single" w:sz="4" w:space="0" w:color="000000"/>
              <w:bottom w:val="single" w:sz="4" w:space="0" w:color="000000"/>
              <w:right w:val="nil"/>
            </w:tcBorders>
            <w:shd w:val="clear" w:color="auto" w:fill="auto"/>
            <w:hideMark/>
          </w:tcPr>
          <w:p w14:paraId="762495C1" w14:textId="26A33D7A" w:rsidR="00E35EB0" w:rsidRPr="00FE012B" w:rsidRDefault="00E35EB0" w:rsidP="00E35EB0">
            <w:pPr>
              <w:spacing w:line="240" w:lineRule="exact"/>
              <w:jc w:val="both"/>
              <w:rPr>
                <w:rFonts w:cs="Arial"/>
                <w:bCs/>
              </w:rPr>
            </w:pPr>
            <w:r w:rsidRPr="00F94B66">
              <w:t xml:space="preserve">-x </w:t>
            </w: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7492133B" w14:textId="6E101EB1" w:rsidR="00E35EB0" w:rsidRPr="00FE012B" w:rsidRDefault="00E35EB0" w:rsidP="00E35EB0">
            <w:pPr>
              <w:spacing w:line="240" w:lineRule="exact"/>
              <w:jc w:val="both"/>
              <w:rPr>
                <w:rFonts w:cs="Arial"/>
                <w:bCs/>
              </w:rPr>
            </w:pPr>
            <w:r w:rsidRPr="00F94B66">
              <w:t xml:space="preserve">-x </w:t>
            </w: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22F8C408" w14:textId="04481B00" w:rsidR="00E35EB0" w:rsidRPr="00FE012B" w:rsidRDefault="00E35EB0" w:rsidP="00E35EB0">
            <w:pPr>
              <w:spacing w:line="240" w:lineRule="exact"/>
              <w:jc w:val="both"/>
              <w:rPr>
                <w:rFonts w:cs="Arial"/>
                <w:bCs/>
              </w:rPr>
            </w:pPr>
            <w:r w:rsidRPr="00F94B66">
              <w:t>-</w:t>
            </w:r>
            <w:proofErr w:type="spellStart"/>
            <w:r w:rsidRPr="00F94B66">
              <w:t>xxx,xx</w:t>
            </w:r>
            <w:proofErr w:type="spellEnd"/>
          </w:p>
        </w:tc>
        <w:tc>
          <w:tcPr>
            <w:tcW w:w="585" w:type="pct"/>
            <w:tcBorders>
              <w:top w:val="nil"/>
              <w:left w:val="single" w:sz="4" w:space="0" w:color="000000"/>
              <w:bottom w:val="single" w:sz="4" w:space="0" w:color="000000"/>
              <w:right w:val="nil"/>
            </w:tcBorders>
            <w:shd w:val="clear" w:color="auto" w:fill="auto"/>
            <w:hideMark/>
          </w:tcPr>
          <w:p w14:paraId="3C853BA7" w14:textId="0EE5D37A" w:rsidR="00E35EB0" w:rsidRPr="00FE012B" w:rsidRDefault="00E35EB0" w:rsidP="00E35EB0">
            <w:pPr>
              <w:spacing w:line="240" w:lineRule="exact"/>
              <w:jc w:val="both"/>
              <w:rPr>
                <w:rFonts w:cs="Arial"/>
                <w:bCs/>
              </w:rPr>
            </w:pPr>
            <w:proofErr w:type="spellStart"/>
            <w:r w:rsidRPr="00F94B66">
              <w:t>xxx,xx</w:t>
            </w:r>
            <w:proofErr w:type="spellEnd"/>
          </w:p>
        </w:tc>
        <w:tc>
          <w:tcPr>
            <w:tcW w:w="677" w:type="pct"/>
            <w:tcBorders>
              <w:top w:val="nil"/>
              <w:left w:val="single" w:sz="4" w:space="0" w:color="000000"/>
              <w:bottom w:val="single" w:sz="4" w:space="0" w:color="000000"/>
              <w:right w:val="nil"/>
            </w:tcBorders>
            <w:shd w:val="clear" w:color="auto" w:fill="auto"/>
            <w:hideMark/>
          </w:tcPr>
          <w:p w14:paraId="5E4E39DA" w14:textId="5E1E58CB" w:rsidR="00E35EB0" w:rsidRPr="00FE012B" w:rsidRDefault="00E35EB0" w:rsidP="00E35EB0">
            <w:pPr>
              <w:spacing w:line="240" w:lineRule="exact"/>
              <w:jc w:val="both"/>
              <w:rPr>
                <w:rFonts w:cs="Arial"/>
                <w:bCs/>
              </w:rPr>
            </w:pPr>
            <w:r w:rsidRPr="00F94B66">
              <w:t xml:space="preserve">x </w:t>
            </w: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7A0E4545" w14:textId="5C6B6393" w:rsidR="00E35EB0" w:rsidRPr="00FE012B" w:rsidRDefault="00E35EB0" w:rsidP="00E35EB0">
            <w:pPr>
              <w:spacing w:line="240" w:lineRule="exact"/>
              <w:jc w:val="both"/>
              <w:rPr>
                <w:rFonts w:cs="Arial"/>
                <w:bCs/>
              </w:rPr>
            </w:pPr>
            <w:r w:rsidRPr="00F94B66">
              <w:t xml:space="preserve">x </w:t>
            </w: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1084698C" w14:textId="5BBD3B1B" w:rsidR="00E35EB0" w:rsidRPr="00FE012B" w:rsidRDefault="00E35EB0" w:rsidP="00E35EB0">
            <w:pPr>
              <w:spacing w:line="240" w:lineRule="exact"/>
              <w:jc w:val="both"/>
              <w:rPr>
                <w:rFonts w:cs="Arial"/>
                <w:bCs/>
              </w:rPr>
            </w:pPr>
            <w:r w:rsidRPr="00F94B66">
              <w:t xml:space="preserve">x </w:t>
            </w:r>
            <w:proofErr w:type="spellStart"/>
            <w:r w:rsidRPr="00F94B66">
              <w:t>xxx,xx</w:t>
            </w:r>
            <w:proofErr w:type="spellEnd"/>
          </w:p>
        </w:tc>
        <w:tc>
          <w:tcPr>
            <w:tcW w:w="556" w:type="pct"/>
            <w:tcBorders>
              <w:top w:val="nil"/>
              <w:left w:val="single" w:sz="4" w:space="0" w:color="000000"/>
              <w:bottom w:val="single" w:sz="4" w:space="0" w:color="000000"/>
              <w:right w:val="single" w:sz="4" w:space="0" w:color="auto"/>
            </w:tcBorders>
            <w:shd w:val="clear" w:color="auto" w:fill="auto"/>
            <w:hideMark/>
          </w:tcPr>
          <w:p w14:paraId="42D1CE8A" w14:textId="3443AC26" w:rsidR="00E35EB0" w:rsidRPr="00E35EB0" w:rsidRDefault="00E35EB0" w:rsidP="00E35EB0">
            <w:pPr>
              <w:spacing w:line="240" w:lineRule="exact"/>
              <w:jc w:val="both"/>
              <w:rPr>
                <w:rFonts w:cs="Arial"/>
                <w:b/>
                <w:bCs/>
              </w:rPr>
            </w:pPr>
            <w:r w:rsidRPr="00E35EB0">
              <w:rPr>
                <w:b/>
                <w:bCs/>
              </w:rPr>
              <w:t>-xx xxx</w:t>
            </w:r>
          </w:p>
        </w:tc>
      </w:tr>
      <w:tr w:rsidR="00E35EB0" w:rsidRPr="00FE012B" w14:paraId="60ED9D9F" w14:textId="77777777" w:rsidTr="00FE012B">
        <w:trPr>
          <w:trHeight w:val="255"/>
        </w:trPr>
        <w:tc>
          <w:tcPr>
            <w:tcW w:w="636" w:type="pct"/>
            <w:tcBorders>
              <w:top w:val="nil"/>
              <w:left w:val="single" w:sz="4" w:space="0" w:color="000000"/>
              <w:bottom w:val="single" w:sz="4" w:space="0" w:color="000000"/>
              <w:right w:val="nil"/>
            </w:tcBorders>
            <w:shd w:val="clear" w:color="auto" w:fill="auto"/>
            <w:hideMark/>
          </w:tcPr>
          <w:p w14:paraId="7F298064" w14:textId="039F6242" w:rsidR="00E35EB0" w:rsidRPr="00E35EB0" w:rsidRDefault="00E35EB0" w:rsidP="00E35EB0">
            <w:pPr>
              <w:spacing w:line="240" w:lineRule="exact"/>
              <w:jc w:val="both"/>
              <w:rPr>
                <w:rFonts w:cs="Arial"/>
                <w:b/>
                <w:bCs/>
              </w:rPr>
            </w:pPr>
            <w:proofErr w:type="spellStart"/>
            <w:r w:rsidRPr="00E35EB0">
              <w:rPr>
                <w:b/>
                <w:bCs/>
              </w:rPr>
              <w:t>xxx,xx</w:t>
            </w:r>
            <w:proofErr w:type="spellEnd"/>
          </w:p>
        </w:tc>
        <w:tc>
          <w:tcPr>
            <w:tcW w:w="636" w:type="pct"/>
            <w:tcBorders>
              <w:top w:val="nil"/>
              <w:left w:val="single" w:sz="4" w:space="0" w:color="000000"/>
              <w:bottom w:val="single" w:sz="4" w:space="0" w:color="000000"/>
              <w:right w:val="nil"/>
            </w:tcBorders>
            <w:shd w:val="clear" w:color="auto" w:fill="auto"/>
            <w:hideMark/>
          </w:tcPr>
          <w:p w14:paraId="762F7F4D" w14:textId="6C411792" w:rsidR="00E35EB0" w:rsidRPr="00E35EB0" w:rsidRDefault="00E35EB0" w:rsidP="00E35EB0">
            <w:pPr>
              <w:spacing w:line="240" w:lineRule="exact"/>
              <w:jc w:val="both"/>
              <w:rPr>
                <w:rFonts w:cs="Arial"/>
                <w:b/>
                <w:bCs/>
              </w:rPr>
            </w:pPr>
            <w:proofErr w:type="spellStart"/>
            <w:r w:rsidRPr="00E35EB0">
              <w:rPr>
                <w:b/>
                <w:bCs/>
              </w:rPr>
              <w:t>xxx,xx</w:t>
            </w:r>
            <w:proofErr w:type="spellEnd"/>
          </w:p>
        </w:tc>
        <w:tc>
          <w:tcPr>
            <w:tcW w:w="636" w:type="pct"/>
            <w:tcBorders>
              <w:top w:val="nil"/>
              <w:left w:val="single" w:sz="4" w:space="0" w:color="000000"/>
              <w:bottom w:val="single" w:sz="4" w:space="0" w:color="000000"/>
              <w:right w:val="nil"/>
            </w:tcBorders>
            <w:shd w:val="clear" w:color="auto" w:fill="auto"/>
            <w:hideMark/>
          </w:tcPr>
          <w:p w14:paraId="17339A4C" w14:textId="59A2AF41" w:rsidR="00E35EB0" w:rsidRPr="00E35EB0" w:rsidRDefault="00E35EB0" w:rsidP="00E35EB0">
            <w:pPr>
              <w:spacing w:line="240" w:lineRule="exact"/>
              <w:jc w:val="both"/>
              <w:rPr>
                <w:rFonts w:cs="Arial"/>
                <w:b/>
                <w:bCs/>
              </w:rPr>
            </w:pPr>
            <w:proofErr w:type="spellStart"/>
            <w:r w:rsidRPr="00E35EB0">
              <w:rPr>
                <w:b/>
                <w:bCs/>
              </w:rPr>
              <w:t>xxx,xx</w:t>
            </w:r>
            <w:proofErr w:type="spellEnd"/>
          </w:p>
        </w:tc>
        <w:tc>
          <w:tcPr>
            <w:tcW w:w="585" w:type="pct"/>
            <w:tcBorders>
              <w:top w:val="nil"/>
              <w:left w:val="single" w:sz="4" w:space="0" w:color="000000"/>
              <w:bottom w:val="single" w:sz="4" w:space="0" w:color="000000"/>
              <w:right w:val="nil"/>
            </w:tcBorders>
            <w:shd w:val="clear" w:color="auto" w:fill="auto"/>
            <w:hideMark/>
          </w:tcPr>
          <w:p w14:paraId="31B309B0" w14:textId="598057C0" w:rsidR="00E35EB0" w:rsidRPr="00E35EB0" w:rsidRDefault="00E35EB0" w:rsidP="00E35EB0">
            <w:pPr>
              <w:spacing w:line="240" w:lineRule="exact"/>
              <w:jc w:val="both"/>
              <w:rPr>
                <w:rFonts w:cs="Arial"/>
                <w:b/>
                <w:bCs/>
              </w:rPr>
            </w:pPr>
            <w:proofErr w:type="spellStart"/>
            <w:r w:rsidRPr="00E35EB0">
              <w:rPr>
                <w:b/>
                <w:bCs/>
              </w:rPr>
              <w:t>xxx,xx</w:t>
            </w:r>
            <w:proofErr w:type="spellEnd"/>
          </w:p>
        </w:tc>
        <w:tc>
          <w:tcPr>
            <w:tcW w:w="677" w:type="pct"/>
            <w:tcBorders>
              <w:top w:val="nil"/>
              <w:left w:val="single" w:sz="4" w:space="0" w:color="000000"/>
              <w:bottom w:val="single" w:sz="4" w:space="0" w:color="000000"/>
              <w:right w:val="nil"/>
            </w:tcBorders>
            <w:shd w:val="clear" w:color="auto" w:fill="auto"/>
            <w:hideMark/>
          </w:tcPr>
          <w:p w14:paraId="3C8761A1" w14:textId="194DFCD4" w:rsidR="00E35EB0" w:rsidRPr="00E35EB0" w:rsidRDefault="00E35EB0" w:rsidP="00E35EB0">
            <w:pPr>
              <w:spacing w:line="240" w:lineRule="exact"/>
              <w:jc w:val="both"/>
              <w:rPr>
                <w:rFonts w:cs="Arial"/>
                <w:b/>
                <w:bCs/>
              </w:rPr>
            </w:pPr>
            <w:proofErr w:type="spellStart"/>
            <w:r w:rsidRPr="00E35EB0">
              <w:rPr>
                <w:b/>
                <w:bCs/>
              </w:rPr>
              <w:t>xx,xx</w:t>
            </w:r>
            <w:proofErr w:type="spellEnd"/>
          </w:p>
        </w:tc>
        <w:tc>
          <w:tcPr>
            <w:tcW w:w="636" w:type="pct"/>
            <w:tcBorders>
              <w:top w:val="nil"/>
              <w:left w:val="single" w:sz="4" w:space="0" w:color="000000"/>
              <w:bottom w:val="single" w:sz="4" w:space="0" w:color="000000"/>
              <w:right w:val="nil"/>
            </w:tcBorders>
            <w:shd w:val="clear" w:color="auto" w:fill="auto"/>
            <w:hideMark/>
          </w:tcPr>
          <w:p w14:paraId="30B93C46" w14:textId="096C86CD" w:rsidR="00E35EB0" w:rsidRPr="00E35EB0" w:rsidRDefault="00E35EB0" w:rsidP="00E35EB0">
            <w:pPr>
              <w:spacing w:line="240" w:lineRule="exact"/>
              <w:jc w:val="both"/>
              <w:rPr>
                <w:rFonts w:cs="Arial"/>
                <w:b/>
                <w:bCs/>
              </w:rPr>
            </w:pPr>
            <w:proofErr w:type="spellStart"/>
            <w:r w:rsidRPr="00E35EB0">
              <w:rPr>
                <w:b/>
                <w:bCs/>
              </w:rPr>
              <w:t>xx,xx</w:t>
            </w:r>
            <w:proofErr w:type="spellEnd"/>
          </w:p>
        </w:tc>
        <w:tc>
          <w:tcPr>
            <w:tcW w:w="636" w:type="pct"/>
            <w:tcBorders>
              <w:top w:val="nil"/>
              <w:left w:val="single" w:sz="4" w:space="0" w:color="000000"/>
              <w:bottom w:val="single" w:sz="4" w:space="0" w:color="000000"/>
              <w:right w:val="nil"/>
            </w:tcBorders>
            <w:shd w:val="clear" w:color="auto" w:fill="auto"/>
            <w:hideMark/>
          </w:tcPr>
          <w:p w14:paraId="4D4A1AA7" w14:textId="6D945313" w:rsidR="00E35EB0" w:rsidRPr="00E35EB0" w:rsidRDefault="00E35EB0" w:rsidP="00E35EB0">
            <w:pPr>
              <w:spacing w:line="240" w:lineRule="exact"/>
              <w:jc w:val="both"/>
              <w:rPr>
                <w:rFonts w:cs="Arial"/>
                <w:b/>
                <w:bCs/>
              </w:rPr>
            </w:pPr>
            <w:proofErr w:type="spellStart"/>
            <w:r w:rsidRPr="00E35EB0">
              <w:rPr>
                <w:b/>
                <w:bCs/>
              </w:rPr>
              <w:t>xx,xx</w:t>
            </w:r>
            <w:proofErr w:type="spellEnd"/>
          </w:p>
        </w:tc>
        <w:tc>
          <w:tcPr>
            <w:tcW w:w="556" w:type="pct"/>
            <w:tcBorders>
              <w:top w:val="nil"/>
              <w:left w:val="single" w:sz="4" w:space="0" w:color="000000"/>
              <w:bottom w:val="single" w:sz="4" w:space="0" w:color="000000"/>
              <w:right w:val="single" w:sz="4" w:space="0" w:color="auto"/>
            </w:tcBorders>
            <w:shd w:val="clear" w:color="auto" w:fill="auto"/>
            <w:hideMark/>
          </w:tcPr>
          <w:p w14:paraId="2EED4E9D" w14:textId="3D04F430" w:rsidR="00E35EB0" w:rsidRPr="00E35EB0" w:rsidRDefault="00E35EB0" w:rsidP="00E35EB0">
            <w:pPr>
              <w:spacing w:line="240" w:lineRule="exact"/>
              <w:jc w:val="both"/>
              <w:rPr>
                <w:rFonts w:cs="Arial"/>
                <w:b/>
                <w:bCs/>
              </w:rPr>
            </w:pPr>
            <w:proofErr w:type="spellStart"/>
            <w:r w:rsidRPr="00E35EB0">
              <w:rPr>
                <w:b/>
                <w:bCs/>
              </w:rPr>
              <w:t>xxx,xx</w:t>
            </w:r>
            <w:proofErr w:type="spellEnd"/>
          </w:p>
        </w:tc>
      </w:tr>
      <w:tr w:rsidR="00E35EB0" w:rsidRPr="00FE012B" w14:paraId="5959C40A" w14:textId="77777777" w:rsidTr="00FE012B">
        <w:trPr>
          <w:trHeight w:val="300"/>
        </w:trPr>
        <w:tc>
          <w:tcPr>
            <w:tcW w:w="636" w:type="pct"/>
            <w:tcBorders>
              <w:top w:val="nil"/>
              <w:left w:val="single" w:sz="4" w:space="0" w:color="000000"/>
              <w:bottom w:val="single" w:sz="4" w:space="0" w:color="000000"/>
              <w:right w:val="nil"/>
            </w:tcBorders>
            <w:shd w:val="clear" w:color="auto" w:fill="auto"/>
          </w:tcPr>
          <w:p w14:paraId="16C4CCA2" w14:textId="02189967" w:rsidR="00E35EB0" w:rsidRPr="00FE012B" w:rsidRDefault="00E35EB0" w:rsidP="00E35EB0">
            <w:pPr>
              <w:spacing w:line="240" w:lineRule="exact"/>
              <w:jc w:val="both"/>
              <w:rPr>
                <w:rFonts w:cs="Arial"/>
                <w:bCs/>
              </w:rPr>
            </w:pPr>
          </w:p>
        </w:tc>
        <w:tc>
          <w:tcPr>
            <w:tcW w:w="636" w:type="pct"/>
            <w:tcBorders>
              <w:top w:val="nil"/>
              <w:left w:val="single" w:sz="4" w:space="0" w:color="000000"/>
              <w:bottom w:val="single" w:sz="4" w:space="0" w:color="000000"/>
              <w:right w:val="nil"/>
            </w:tcBorders>
            <w:shd w:val="clear" w:color="auto" w:fill="auto"/>
          </w:tcPr>
          <w:p w14:paraId="16EB1D99" w14:textId="04C1AE3B" w:rsidR="00E35EB0" w:rsidRPr="00FE012B" w:rsidRDefault="00E35EB0" w:rsidP="00E35EB0">
            <w:pPr>
              <w:spacing w:line="240" w:lineRule="exact"/>
              <w:jc w:val="both"/>
              <w:rPr>
                <w:rFonts w:cs="Arial"/>
                <w:bCs/>
              </w:rPr>
            </w:pPr>
          </w:p>
        </w:tc>
        <w:tc>
          <w:tcPr>
            <w:tcW w:w="636" w:type="pct"/>
            <w:tcBorders>
              <w:top w:val="nil"/>
              <w:left w:val="single" w:sz="4" w:space="0" w:color="000000"/>
              <w:bottom w:val="single" w:sz="4" w:space="0" w:color="000000"/>
              <w:right w:val="nil"/>
            </w:tcBorders>
            <w:shd w:val="clear" w:color="auto" w:fill="auto"/>
          </w:tcPr>
          <w:p w14:paraId="54DB39A4" w14:textId="1545CE8D" w:rsidR="00E35EB0" w:rsidRPr="00FE012B" w:rsidRDefault="00E35EB0" w:rsidP="00E35EB0">
            <w:pPr>
              <w:spacing w:line="240" w:lineRule="exact"/>
              <w:jc w:val="both"/>
              <w:rPr>
                <w:rFonts w:cs="Arial"/>
                <w:bCs/>
              </w:rPr>
            </w:pPr>
          </w:p>
        </w:tc>
        <w:tc>
          <w:tcPr>
            <w:tcW w:w="585" w:type="pct"/>
            <w:tcBorders>
              <w:top w:val="nil"/>
              <w:left w:val="single" w:sz="4" w:space="0" w:color="000000"/>
              <w:bottom w:val="single" w:sz="4" w:space="0" w:color="000000"/>
              <w:right w:val="nil"/>
            </w:tcBorders>
            <w:shd w:val="clear" w:color="auto" w:fill="auto"/>
          </w:tcPr>
          <w:p w14:paraId="793F3838" w14:textId="3211BBC6" w:rsidR="00E35EB0" w:rsidRPr="00FE012B" w:rsidRDefault="00E35EB0" w:rsidP="00E35EB0">
            <w:pPr>
              <w:spacing w:line="240" w:lineRule="exact"/>
              <w:jc w:val="both"/>
              <w:rPr>
                <w:rFonts w:cs="Arial"/>
                <w:bCs/>
              </w:rPr>
            </w:pPr>
          </w:p>
        </w:tc>
        <w:tc>
          <w:tcPr>
            <w:tcW w:w="677" w:type="pct"/>
            <w:tcBorders>
              <w:top w:val="nil"/>
              <w:left w:val="single" w:sz="4" w:space="0" w:color="000000"/>
              <w:bottom w:val="single" w:sz="4" w:space="0" w:color="000000"/>
              <w:right w:val="nil"/>
            </w:tcBorders>
            <w:shd w:val="clear" w:color="auto" w:fill="auto"/>
          </w:tcPr>
          <w:p w14:paraId="095CAEEA" w14:textId="6D5D6D3C" w:rsidR="00E35EB0" w:rsidRPr="00FE012B" w:rsidRDefault="00E35EB0" w:rsidP="00E35EB0">
            <w:pPr>
              <w:spacing w:line="240" w:lineRule="exact"/>
              <w:jc w:val="both"/>
              <w:rPr>
                <w:rFonts w:cs="Arial"/>
                <w:bCs/>
              </w:rPr>
            </w:pPr>
          </w:p>
        </w:tc>
        <w:tc>
          <w:tcPr>
            <w:tcW w:w="636" w:type="pct"/>
            <w:tcBorders>
              <w:top w:val="nil"/>
              <w:left w:val="single" w:sz="4" w:space="0" w:color="000000"/>
              <w:bottom w:val="single" w:sz="4" w:space="0" w:color="000000"/>
              <w:right w:val="nil"/>
            </w:tcBorders>
            <w:shd w:val="clear" w:color="auto" w:fill="auto"/>
          </w:tcPr>
          <w:p w14:paraId="43AEF025" w14:textId="3434983D" w:rsidR="00E35EB0" w:rsidRPr="00FE012B" w:rsidRDefault="00E35EB0" w:rsidP="00E35EB0">
            <w:pPr>
              <w:spacing w:line="240" w:lineRule="exact"/>
              <w:jc w:val="both"/>
              <w:rPr>
                <w:rFonts w:cs="Arial"/>
                <w:bCs/>
              </w:rPr>
            </w:pPr>
          </w:p>
        </w:tc>
        <w:tc>
          <w:tcPr>
            <w:tcW w:w="636" w:type="pct"/>
            <w:tcBorders>
              <w:top w:val="nil"/>
              <w:left w:val="single" w:sz="4" w:space="0" w:color="000000"/>
              <w:bottom w:val="single" w:sz="4" w:space="0" w:color="000000"/>
              <w:right w:val="nil"/>
            </w:tcBorders>
            <w:shd w:val="clear" w:color="auto" w:fill="auto"/>
          </w:tcPr>
          <w:p w14:paraId="293F8A91" w14:textId="60C11A93" w:rsidR="00E35EB0" w:rsidRPr="00FE012B" w:rsidRDefault="00E35EB0" w:rsidP="00E35EB0">
            <w:pPr>
              <w:spacing w:line="240" w:lineRule="exact"/>
              <w:jc w:val="both"/>
              <w:rPr>
                <w:rFonts w:cs="Arial"/>
                <w:bCs/>
              </w:rPr>
            </w:pPr>
          </w:p>
        </w:tc>
        <w:tc>
          <w:tcPr>
            <w:tcW w:w="556" w:type="pct"/>
            <w:tcBorders>
              <w:top w:val="nil"/>
              <w:left w:val="single" w:sz="4" w:space="0" w:color="000000"/>
              <w:bottom w:val="single" w:sz="4" w:space="0" w:color="000000"/>
              <w:right w:val="single" w:sz="4" w:space="0" w:color="auto"/>
            </w:tcBorders>
            <w:shd w:val="clear" w:color="auto" w:fill="auto"/>
            <w:hideMark/>
          </w:tcPr>
          <w:p w14:paraId="05B3AF53" w14:textId="1A0192A4" w:rsidR="00E35EB0" w:rsidRPr="00E35EB0" w:rsidRDefault="00E35EB0" w:rsidP="00E35EB0">
            <w:pPr>
              <w:spacing w:line="240" w:lineRule="exact"/>
              <w:jc w:val="both"/>
              <w:rPr>
                <w:rFonts w:cs="Arial"/>
                <w:b/>
                <w:bCs/>
              </w:rPr>
            </w:pPr>
          </w:p>
        </w:tc>
      </w:tr>
      <w:tr w:rsidR="00E35EB0" w:rsidRPr="0057086A" w14:paraId="50B71289" w14:textId="77777777" w:rsidTr="00FE012B">
        <w:trPr>
          <w:trHeight w:val="255"/>
        </w:trPr>
        <w:tc>
          <w:tcPr>
            <w:tcW w:w="636" w:type="pct"/>
            <w:tcBorders>
              <w:top w:val="nil"/>
              <w:left w:val="single" w:sz="4" w:space="0" w:color="000000"/>
              <w:bottom w:val="single" w:sz="4" w:space="0" w:color="000000"/>
              <w:right w:val="nil"/>
            </w:tcBorders>
            <w:shd w:val="clear" w:color="auto" w:fill="auto"/>
            <w:hideMark/>
          </w:tcPr>
          <w:p w14:paraId="63C29902" w14:textId="13BA8EE5" w:rsidR="00E35EB0" w:rsidRPr="00FE012B" w:rsidRDefault="00E35EB0" w:rsidP="00E35EB0">
            <w:pPr>
              <w:spacing w:line="240" w:lineRule="exact"/>
              <w:jc w:val="both"/>
              <w:rPr>
                <w:rFonts w:cs="Arial"/>
                <w:bCs/>
              </w:rPr>
            </w:pP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3B74D8B7" w14:textId="20DA5B85" w:rsidR="00E35EB0" w:rsidRPr="00FE012B" w:rsidRDefault="00E35EB0" w:rsidP="00E35EB0">
            <w:pPr>
              <w:spacing w:line="240" w:lineRule="exact"/>
              <w:jc w:val="both"/>
              <w:rPr>
                <w:rFonts w:cs="Arial"/>
                <w:bCs/>
              </w:rPr>
            </w:pPr>
            <w:proofErr w:type="spellStart"/>
            <w:r w:rsidRPr="00F94B66">
              <w:t>xxx,xx</w:t>
            </w:r>
            <w:proofErr w:type="spellEnd"/>
          </w:p>
        </w:tc>
        <w:tc>
          <w:tcPr>
            <w:tcW w:w="636" w:type="pct"/>
            <w:tcBorders>
              <w:top w:val="nil"/>
              <w:left w:val="single" w:sz="4" w:space="0" w:color="000000"/>
              <w:bottom w:val="single" w:sz="4" w:space="0" w:color="000000"/>
              <w:right w:val="nil"/>
            </w:tcBorders>
            <w:shd w:val="clear" w:color="auto" w:fill="auto"/>
            <w:hideMark/>
          </w:tcPr>
          <w:p w14:paraId="0CAAA90B" w14:textId="3438A5A9" w:rsidR="00E35EB0" w:rsidRPr="00FE012B" w:rsidRDefault="00E35EB0" w:rsidP="00E35EB0">
            <w:pPr>
              <w:spacing w:line="240" w:lineRule="exact"/>
              <w:jc w:val="both"/>
              <w:rPr>
                <w:rFonts w:cs="Arial"/>
                <w:bCs/>
              </w:rPr>
            </w:pPr>
            <w:proofErr w:type="spellStart"/>
            <w:r w:rsidRPr="00F94B66">
              <w:t>xxx,xx</w:t>
            </w:r>
            <w:proofErr w:type="spellEnd"/>
          </w:p>
        </w:tc>
        <w:tc>
          <w:tcPr>
            <w:tcW w:w="585" w:type="pct"/>
            <w:tcBorders>
              <w:top w:val="nil"/>
              <w:left w:val="single" w:sz="4" w:space="0" w:color="000000"/>
              <w:bottom w:val="single" w:sz="4" w:space="0" w:color="000000"/>
              <w:right w:val="nil"/>
            </w:tcBorders>
            <w:shd w:val="clear" w:color="auto" w:fill="auto"/>
            <w:hideMark/>
          </w:tcPr>
          <w:p w14:paraId="0A23C631" w14:textId="0D51D37A" w:rsidR="00E35EB0" w:rsidRPr="00FE012B" w:rsidRDefault="00E35EB0" w:rsidP="00E35EB0">
            <w:pPr>
              <w:spacing w:line="240" w:lineRule="exact"/>
              <w:jc w:val="both"/>
              <w:rPr>
                <w:rFonts w:cs="Arial"/>
                <w:bCs/>
              </w:rPr>
            </w:pPr>
            <w:proofErr w:type="spellStart"/>
            <w:r w:rsidRPr="00F94B66">
              <w:t>xxx,xx</w:t>
            </w:r>
            <w:proofErr w:type="spellEnd"/>
          </w:p>
        </w:tc>
        <w:tc>
          <w:tcPr>
            <w:tcW w:w="677" w:type="pct"/>
            <w:tcBorders>
              <w:top w:val="nil"/>
              <w:left w:val="single" w:sz="4" w:space="0" w:color="000000"/>
              <w:bottom w:val="single" w:sz="4" w:space="0" w:color="000000"/>
              <w:right w:val="nil"/>
            </w:tcBorders>
            <w:shd w:val="clear" w:color="auto" w:fill="auto"/>
            <w:hideMark/>
          </w:tcPr>
          <w:p w14:paraId="19770C50" w14:textId="5935C378" w:rsidR="00E35EB0" w:rsidRPr="00FE012B" w:rsidRDefault="00E35EB0" w:rsidP="00E35EB0">
            <w:pPr>
              <w:spacing w:line="240" w:lineRule="exact"/>
              <w:jc w:val="both"/>
              <w:rPr>
                <w:rFonts w:cs="Arial"/>
                <w:bCs/>
              </w:rPr>
            </w:pPr>
            <w:proofErr w:type="spellStart"/>
            <w:r w:rsidRPr="00F94B66">
              <w:t>xx,xx</w:t>
            </w:r>
            <w:proofErr w:type="spellEnd"/>
          </w:p>
        </w:tc>
        <w:tc>
          <w:tcPr>
            <w:tcW w:w="636" w:type="pct"/>
            <w:tcBorders>
              <w:top w:val="nil"/>
              <w:left w:val="single" w:sz="4" w:space="0" w:color="000000"/>
              <w:bottom w:val="single" w:sz="4" w:space="0" w:color="000000"/>
              <w:right w:val="nil"/>
            </w:tcBorders>
            <w:shd w:val="clear" w:color="auto" w:fill="auto"/>
            <w:hideMark/>
          </w:tcPr>
          <w:p w14:paraId="0720099F" w14:textId="463800AA" w:rsidR="00E35EB0" w:rsidRPr="00FE012B" w:rsidRDefault="00E35EB0" w:rsidP="00E35EB0">
            <w:pPr>
              <w:spacing w:line="240" w:lineRule="exact"/>
              <w:jc w:val="both"/>
              <w:rPr>
                <w:rFonts w:cs="Arial"/>
                <w:bCs/>
              </w:rPr>
            </w:pPr>
            <w:proofErr w:type="spellStart"/>
            <w:r w:rsidRPr="00F94B66">
              <w:t>xx,xx</w:t>
            </w:r>
            <w:proofErr w:type="spellEnd"/>
          </w:p>
        </w:tc>
        <w:tc>
          <w:tcPr>
            <w:tcW w:w="636" w:type="pct"/>
            <w:tcBorders>
              <w:top w:val="nil"/>
              <w:left w:val="single" w:sz="4" w:space="0" w:color="000000"/>
              <w:bottom w:val="single" w:sz="4" w:space="0" w:color="000000"/>
              <w:right w:val="nil"/>
            </w:tcBorders>
            <w:shd w:val="clear" w:color="auto" w:fill="auto"/>
            <w:hideMark/>
          </w:tcPr>
          <w:p w14:paraId="731DC0D8" w14:textId="2076FBFC" w:rsidR="00E35EB0" w:rsidRPr="00FE012B" w:rsidRDefault="00E35EB0" w:rsidP="00E35EB0">
            <w:pPr>
              <w:spacing w:line="240" w:lineRule="exact"/>
              <w:jc w:val="both"/>
              <w:rPr>
                <w:rFonts w:cs="Arial"/>
                <w:bCs/>
              </w:rPr>
            </w:pPr>
            <w:proofErr w:type="spellStart"/>
            <w:r w:rsidRPr="00F94B66">
              <w:t>xx,xx</w:t>
            </w:r>
            <w:proofErr w:type="spellEnd"/>
          </w:p>
        </w:tc>
        <w:tc>
          <w:tcPr>
            <w:tcW w:w="556" w:type="pct"/>
            <w:tcBorders>
              <w:top w:val="nil"/>
              <w:left w:val="single" w:sz="4" w:space="0" w:color="000000"/>
              <w:bottom w:val="single" w:sz="4" w:space="0" w:color="000000"/>
              <w:right w:val="single" w:sz="4" w:space="0" w:color="auto"/>
            </w:tcBorders>
            <w:shd w:val="clear" w:color="auto" w:fill="auto"/>
            <w:hideMark/>
          </w:tcPr>
          <w:p w14:paraId="577C257D" w14:textId="14008345" w:rsidR="00E35EB0" w:rsidRPr="00E35EB0" w:rsidRDefault="00E35EB0" w:rsidP="00E35EB0">
            <w:pPr>
              <w:spacing w:line="240" w:lineRule="exact"/>
              <w:jc w:val="both"/>
              <w:rPr>
                <w:rFonts w:cs="Arial"/>
                <w:b/>
                <w:bCs/>
              </w:rPr>
            </w:pPr>
            <w:proofErr w:type="spellStart"/>
            <w:r w:rsidRPr="00E35EB0">
              <w:rPr>
                <w:b/>
                <w:bCs/>
              </w:rPr>
              <w:t>xxx,xx</w:t>
            </w:r>
            <w:proofErr w:type="spellEnd"/>
          </w:p>
        </w:tc>
      </w:tr>
    </w:tbl>
    <w:p w14:paraId="1A4F01B7" w14:textId="7C19041F" w:rsidR="00A01AC3" w:rsidRPr="0057086A" w:rsidRDefault="00A01AC3" w:rsidP="00A01AC3">
      <w:pPr>
        <w:spacing w:line="240" w:lineRule="exact"/>
        <w:jc w:val="both"/>
        <w:rPr>
          <w:rFonts w:cs="Arial"/>
          <w:bCs/>
        </w:rPr>
      </w:pPr>
    </w:p>
    <w:p w14:paraId="533AC1BE" w14:textId="77777777" w:rsidR="002119D5" w:rsidRPr="0057086A" w:rsidRDefault="002119D5" w:rsidP="00835004">
      <w:pPr>
        <w:ind w:left="709"/>
      </w:pPr>
    </w:p>
    <w:p w14:paraId="73245608" w14:textId="33D115C5" w:rsidR="002119D5" w:rsidRPr="00155BBB" w:rsidRDefault="002119D5" w:rsidP="002119D5">
      <w:pPr>
        <w:ind w:left="709"/>
        <w:rPr>
          <w:color w:val="000000" w:themeColor="text1"/>
        </w:rPr>
      </w:pPr>
      <w:r w:rsidRPr="00155BBB">
        <w:rPr>
          <w:color w:val="000000" w:themeColor="text1"/>
        </w:rPr>
        <w:t>С решение Ц-</w:t>
      </w:r>
      <w:r w:rsidR="004C42C1" w:rsidRPr="00155BBB">
        <w:rPr>
          <w:color w:val="000000" w:themeColor="text1"/>
        </w:rPr>
        <w:t>1</w:t>
      </w:r>
      <w:r w:rsidR="00FE012B" w:rsidRPr="00155BBB">
        <w:rPr>
          <w:color w:val="000000" w:themeColor="text1"/>
          <w:lang w:val="en-US"/>
        </w:rPr>
        <w:t>2</w:t>
      </w:r>
      <w:r w:rsidRPr="00155BBB">
        <w:rPr>
          <w:color w:val="000000" w:themeColor="text1"/>
        </w:rPr>
        <w:t xml:space="preserve"> от 01.07.202</w:t>
      </w:r>
      <w:r w:rsidR="00FE012B" w:rsidRPr="00155BBB">
        <w:rPr>
          <w:color w:val="000000" w:themeColor="text1"/>
          <w:lang w:val="en-US"/>
        </w:rPr>
        <w:t>3</w:t>
      </w:r>
      <w:r w:rsidRPr="00155BBB">
        <w:rPr>
          <w:color w:val="000000" w:themeColor="text1"/>
          <w:lang w:val="en-US"/>
        </w:rPr>
        <w:t xml:space="preserve"> </w:t>
      </w:r>
      <w:r w:rsidRPr="00155BBB">
        <w:rPr>
          <w:color w:val="000000" w:themeColor="text1"/>
        </w:rPr>
        <w:t>за периода 01.07.202</w:t>
      </w:r>
      <w:r w:rsidR="00FE012B" w:rsidRPr="00155BBB">
        <w:rPr>
          <w:color w:val="000000" w:themeColor="text1"/>
          <w:lang w:val="en-US"/>
        </w:rPr>
        <w:t>2</w:t>
      </w:r>
      <w:r w:rsidRPr="00155BBB">
        <w:rPr>
          <w:color w:val="000000" w:themeColor="text1"/>
        </w:rPr>
        <w:t>-30.06.202</w:t>
      </w:r>
      <w:r w:rsidR="00FE012B" w:rsidRPr="00155BBB">
        <w:rPr>
          <w:color w:val="000000" w:themeColor="text1"/>
          <w:lang w:val="en-US"/>
        </w:rPr>
        <w:t>3</w:t>
      </w:r>
      <w:r w:rsidRPr="00155BBB">
        <w:rPr>
          <w:color w:val="000000" w:themeColor="text1"/>
        </w:rPr>
        <w:t xml:space="preserve"> е калкулирана корекция по природен газ в размер на </w:t>
      </w:r>
      <w:r w:rsidR="00FE012B" w:rsidRPr="00155BBB">
        <w:rPr>
          <w:color w:val="000000" w:themeColor="text1"/>
          <w:lang w:val="en-US"/>
        </w:rPr>
        <w:t>-</w:t>
      </w:r>
      <w:r w:rsidR="00356D1B">
        <w:rPr>
          <w:color w:val="000000" w:themeColor="text1"/>
          <w:lang w:val="en-US"/>
        </w:rPr>
        <w:t>xx xxx</w:t>
      </w:r>
      <w:r w:rsidR="00FE012B" w:rsidRPr="00155BBB">
        <w:rPr>
          <w:color w:val="000000" w:themeColor="text1"/>
          <w:lang w:val="en-US"/>
        </w:rPr>
        <w:t xml:space="preserve"> </w:t>
      </w:r>
      <w:r w:rsidRPr="00155BBB">
        <w:rPr>
          <w:color w:val="000000" w:themeColor="text1"/>
        </w:rPr>
        <w:t>хил. лв.</w:t>
      </w:r>
    </w:p>
    <w:p w14:paraId="53D024E5" w14:textId="77777777" w:rsidR="002119D5" w:rsidRPr="00155BBB" w:rsidRDefault="002119D5" w:rsidP="002119D5">
      <w:pPr>
        <w:rPr>
          <w:color w:val="000000" w:themeColor="text1"/>
        </w:rPr>
      </w:pPr>
    </w:p>
    <w:p w14:paraId="1797A41C" w14:textId="7A111931" w:rsidR="00835004" w:rsidRPr="00155BBB" w:rsidRDefault="00835004" w:rsidP="00835004">
      <w:pPr>
        <w:ind w:left="709"/>
        <w:rPr>
          <w:color w:val="000000" w:themeColor="text1"/>
        </w:rPr>
      </w:pPr>
      <w:r w:rsidRPr="00155BBB">
        <w:rPr>
          <w:color w:val="000000" w:themeColor="text1"/>
        </w:rPr>
        <w:t xml:space="preserve">В </w:t>
      </w:r>
      <w:r w:rsidR="00D15E23" w:rsidRPr="00155BBB">
        <w:rPr>
          <w:color w:val="000000" w:themeColor="text1"/>
        </w:rPr>
        <w:t>резултат</w:t>
      </w:r>
      <w:r w:rsidRPr="00155BBB">
        <w:rPr>
          <w:color w:val="000000" w:themeColor="text1"/>
        </w:rPr>
        <w:t xml:space="preserve"> разходите</w:t>
      </w:r>
      <w:r w:rsidR="00D15E23" w:rsidRPr="00155BBB">
        <w:rPr>
          <w:color w:val="000000" w:themeColor="text1"/>
        </w:rPr>
        <w:t xml:space="preserve"> </w:t>
      </w:r>
      <w:r w:rsidRPr="00155BBB">
        <w:rPr>
          <w:color w:val="000000" w:themeColor="text1"/>
        </w:rPr>
        <w:t>за</w:t>
      </w:r>
      <w:r w:rsidR="00D15E23" w:rsidRPr="00155BBB">
        <w:rPr>
          <w:color w:val="000000" w:themeColor="text1"/>
        </w:rPr>
        <w:t xml:space="preserve"> </w:t>
      </w:r>
      <w:r w:rsidRPr="00155BBB">
        <w:rPr>
          <w:color w:val="000000" w:themeColor="text1"/>
        </w:rPr>
        <w:t>основно</w:t>
      </w:r>
      <w:r w:rsidR="00D15E23" w:rsidRPr="00155BBB">
        <w:rPr>
          <w:color w:val="000000" w:themeColor="text1"/>
        </w:rPr>
        <w:t xml:space="preserve"> </w:t>
      </w:r>
      <w:r w:rsidRPr="00155BBB">
        <w:rPr>
          <w:color w:val="000000" w:themeColor="text1"/>
        </w:rPr>
        <w:t>гориво-</w:t>
      </w:r>
      <w:r w:rsidR="00D15E23" w:rsidRPr="00155BBB">
        <w:rPr>
          <w:color w:val="000000" w:themeColor="text1"/>
        </w:rPr>
        <w:t xml:space="preserve"> </w:t>
      </w:r>
      <w:r w:rsidRPr="00155BBB">
        <w:rPr>
          <w:color w:val="000000" w:themeColor="text1"/>
        </w:rPr>
        <w:t>природен</w:t>
      </w:r>
      <w:r w:rsidR="00D15E23" w:rsidRPr="00155BBB">
        <w:rPr>
          <w:color w:val="000000" w:themeColor="text1"/>
        </w:rPr>
        <w:t xml:space="preserve"> </w:t>
      </w:r>
      <w:r w:rsidRPr="00155BBB">
        <w:rPr>
          <w:color w:val="000000" w:themeColor="text1"/>
        </w:rPr>
        <w:t>газ</w:t>
      </w:r>
      <w:r w:rsidR="00D15E23" w:rsidRPr="00155BBB">
        <w:rPr>
          <w:color w:val="000000" w:themeColor="text1"/>
        </w:rPr>
        <w:t xml:space="preserve"> </w:t>
      </w:r>
      <w:r w:rsidRPr="00155BBB">
        <w:rPr>
          <w:color w:val="000000" w:themeColor="text1"/>
        </w:rPr>
        <w:t>в</w:t>
      </w:r>
      <w:r w:rsidR="00D15E23" w:rsidRPr="00155BBB">
        <w:rPr>
          <w:color w:val="000000" w:themeColor="text1"/>
        </w:rPr>
        <w:t xml:space="preserve"> </w:t>
      </w:r>
      <w:r w:rsidRPr="00155BBB">
        <w:rPr>
          <w:color w:val="000000" w:themeColor="text1"/>
        </w:rPr>
        <w:t>резултат</w:t>
      </w:r>
      <w:r w:rsidR="00D15E23" w:rsidRPr="00155BBB">
        <w:rPr>
          <w:color w:val="000000" w:themeColor="text1"/>
        </w:rPr>
        <w:t xml:space="preserve"> </w:t>
      </w:r>
      <w:r w:rsidRPr="00155BBB">
        <w:rPr>
          <w:color w:val="000000" w:themeColor="text1"/>
        </w:rPr>
        <w:t>на</w:t>
      </w:r>
      <w:r w:rsidR="00D15E23" w:rsidRPr="00155BBB">
        <w:rPr>
          <w:color w:val="000000" w:themeColor="text1"/>
        </w:rPr>
        <w:t xml:space="preserve"> </w:t>
      </w:r>
      <w:r w:rsidRPr="00155BBB">
        <w:rPr>
          <w:color w:val="000000" w:themeColor="text1"/>
        </w:rPr>
        <w:t>прогнозни</w:t>
      </w:r>
      <w:r w:rsidR="00D15E23" w:rsidRPr="00155BBB">
        <w:rPr>
          <w:color w:val="000000" w:themeColor="text1"/>
        </w:rPr>
        <w:t xml:space="preserve"> </w:t>
      </w:r>
      <w:r w:rsidRPr="00155BBB">
        <w:rPr>
          <w:color w:val="000000" w:themeColor="text1"/>
        </w:rPr>
        <w:t>количества</w:t>
      </w:r>
      <w:r w:rsidR="00D15E23" w:rsidRPr="00155BBB">
        <w:rPr>
          <w:color w:val="000000" w:themeColor="text1"/>
        </w:rPr>
        <w:t xml:space="preserve"> </w:t>
      </w:r>
      <w:r w:rsidRPr="00155BBB">
        <w:rPr>
          <w:color w:val="000000" w:themeColor="text1"/>
        </w:rPr>
        <w:t>и</w:t>
      </w:r>
      <w:r w:rsidR="00D15E23" w:rsidRPr="00155BBB">
        <w:rPr>
          <w:color w:val="000000" w:themeColor="text1"/>
        </w:rPr>
        <w:t xml:space="preserve"> </w:t>
      </w:r>
      <w:r w:rsidRPr="00155BBB">
        <w:rPr>
          <w:color w:val="000000" w:themeColor="text1"/>
        </w:rPr>
        <w:t>разходи,</w:t>
      </w:r>
      <w:r w:rsidR="00D15E23" w:rsidRPr="00155BBB">
        <w:rPr>
          <w:color w:val="000000" w:themeColor="text1"/>
        </w:rPr>
        <w:t xml:space="preserve"> </w:t>
      </w:r>
      <w:r w:rsidRPr="00155BBB">
        <w:rPr>
          <w:color w:val="000000" w:themeColor="text1"/>
        </w:rPr>
        <w:t>използвани</w:t>
      </w:r>
      <w:r w:rsidR="00D15E23" w:rsidRPr="00155BBB">
        <w:rPr>
          <w:color w:val="000000" w:themeColor="text1"/>
        </w:rPr>
        <w:t xml:space="preserve"> </w:t>
      </w:r>
      <w:r w:rsidRPr="00155BBB">
        <w:rPr>
          <w:color w:val="000000" w:themeColor="text1"/>
        </w:rPr>
        <w:t>за</w:t>
      </w:r>
      <w:r w:rsidR="00D15E23" w:rsidRPr="00155BBB">
        <w:rPr>
          <w:color w:val="000000" w:themeColor="text1"/>
        </w:rPr>
        <w:t xml:space="preserve"> </w:t>
      </w:r>
      <w:r w:rsidRPr="00155BBB">
        <w:rPr>
          <w:color w:val="000000" w:themeColor="text1"/>
        </w:rPr>
        <w:t>определяне</w:t>
      </w:r>
      <w:r w:rsidR="00D15E23" w:rsidRPr="00155BBB">
        <w:rPr>
          <w:color w:val="000000" w:themeColor="text1"/>
        </w:rPr>
        <w:t xml:space="preserve"> </w:t>
      </w:r>
      <w:r w:rsidRPr="00155BBB">
        <w:rPr>
          <w:color w:val="000000" w:themeColor="text1"/>
        </w:rPr>
        <w:t>на</w:t>
      </w:r>
      <w:r w:rsidR="00D15E23" w:rsidRPr="00155BBB">
        <w:rPr>
          <w:color w:val="000000" w:themeColor="text1"/>
        </w:rPr>
        <w:t xml:space="preserve"> </w:t>
      </w:r>
      <w:r w:rsidRPr="00155BBB">
        <w:rPr>
          <w:color w:val="000000" w:themeColor="text1"/>
        </w:rPr>
        <w:t>Ht-1</w:t>
      </w:r>
      <w:r w:rsidR="00D15E23" w:rsidRPr="00155BBB">
        <w:rPr>
          <w:color w:val="000000" w:themeColor="text1"/>
        </w:rPr>
        <w:t xml:space="preserve"> следва допълнително да се коригират с </w:t>
      </w:r>
      <w:r w:rsidR="00BF62D8" w:rsidRPr="00155BBB">
        <w:rPr>
          <w:color w:val="000000" w:themeColor="text1"/>
        </w:rPr>
        <w:t>-</w:t>
      </w:r>
      <w:r w:rsidR="00356D1B">
        <w:rPr>
          <w:color w:val="000000" w:themeColor="text1"/>
          <w:lang w:val="en-US"/>
        </w:rPr>
        <w:t>xx xxx</w:t>
      </w:r>
      <w:r w:rsidR="004C42C1" w:rsidRPr="00155BBB">
        <w:rPr>
          <w:color w:val="000000" w:themeColor="text1"/>
        </w:rPr>
        <w:t xml:space="preserve"> –</w:t>
      </w:r>
      <w:r w:rsidR="00D15E23" w:rsidRPr="00155BBB">
        <w:rPr>
          <w:color w:val="000000" w:themeColor="text1"/>
        </w:rPr>
        <w:t xml:space="preserve"> </w:t>
      </w:r>
      <w:r w:rsidR="00BF62D8" w:rsidRPr="00155BBB">
        <w:rPr>
          <w:color w:val="000000" w:themeColor="text1"/>
        </w:rPr>
        <w:t>(-</w:t>
      </w:r>
      <w:r w:rsidR="00356D1B">
        <w:rPr>
          <w:color w:val="000000" w:themeColor="text1"/>
          <w:lang w:val="en-US"/>
        </w:rPr>
        <w:t>xx xxx</w:t>
      </w:r>
      <w:r w:rsidR="00BF62D8" w:rsidRPr="00155BBB">
        <w:rPr>
          <w:color w:val="000000" w:themeColor="text1"/>
        </w:rPr>
        <w:t>)</w:t>
      </w:r>
      <w:r w:rsidR="00D15E23" w:rsidRPr="00155BBB">
        <w:rPr>
          <w:color w:val="000000" w:themeColor="text1"/>
        </w:rPr>
        <w:t xml:space="preserve">  = </w:t>
      </w:r>
      <w:r w:rsidR="00BF62D8" w:rsidRPr="00155BBB">
        <w:rPr>
          <w:color w:val="000000" w:themeColor="text1"/>
        </w:rPr>
        <w:t>-</w:t>
      </w:r>
      <w:r w:rsidR="00356D1B">
        <w:rPr>
          <w:color w:val="000000" w:themeColor="text1"/>
          <w:lang w:val="en-US"/>
        </w:rPr>
        <w:t>xx</w:t>
      </w:r>
      <w:r w:rsidR="00D15E23" w:rsidRPr="00155BBB">
        <w:rPr>
          <w:color w:val="000000" w:themeColor="text1"/>
        </w:rPr>
        <w:t xml:space="preserve"> хил. лв.</w:t>
      </w:r>
    </w:p>
    <w:p w14:paraId="4CA3945F" w14:textId="5D6E5214" w:rsidR="009E77B7" w:rsidRPr="0057086A" w:rsidRDefault="009E77B7" w:rsidP="00835004">
      <w:pPr>
        <w:ind w:left="709"/>
      </w:pPr>
    </w:p>
    <w:p w14:paraId="3E87F6E6" w14:textId="2FA2D376" w:rsidR="009E77B7" w:rsidRPr="0057086A" w:rsidRDefault="009E77B7" w:rsidP="00F62A11">
      <w:pPr>
        <w:pStyle w:val="ListParagraph"/>
        <w:numPr>
          <w:ilvl w:val="0"/>
          <w:numId w:val="34"/>
        </w:numPr>
        <w:rPr>
          <w:rFonts w:ascii="Frutiger Next for EVN Light" w:hAnsi="Frutiger Next for EVN Light"/>
          <w:sz w:val="19"/>
          <w:szCs w:val="19"/>
          <w:lang w:val="bg-BG"/>
        </w:rPr>
      </w:pPr>
      <w:r w:rsidRPr="0057086A">
        <w:rPr>
          <w:rFonts w:ascii="Frutiger Next for EVN Light" w:hAnsi="Frutiger Next for EVN Light"/>
          <w:sz w:val="19"/>
          <w:szCs w:val="19"/>
          <w:lang w:val="bg-BG"/>
        </w:rPr>
        <w:t>Калкулация на корекцията по въглеродни емисии за период 01.07.202</w:t>
      </w:r>
      <w:r w:rsidR="00581A8D">
        <w:rPr>
          <w:rFonts w:ascii="Frutiger Next for EVN Light" w:hAnsi="Frutiger Next for EVN Light"/>
          <w:sz w:val="19"/>
          <w:szCs w:val="19"/>
          <w:lang w:val="en-US"/>
        </w:rPr>
        <w:t>2</w:t>
      </w:r>
      <w:r w:rsidRPr="0057086A">
        <w:rPr>
          <w:rFonts w:ascii="Frutiger Next for EVN Light" w:hAnsi="Frutiger Next for EVN Light"/>
          <w:sz w:val="19"/>
          <w:szCs w:val="19"/>
          <w:lang w:val="bg-BG"/>
        </w:rPr>
        <w:t xml:space="preserve"> – 30.06.202</w:t>
      </w:r>
      <w:r w:rsidR="00581A8D">
        <w:rPr>
          <w:rFonts w:ascii="Frutiger Next for EVN Light" w:hAnsi="Frutiger Next for EVN Light"/>
          <w:sz w:val="19"/>
          <w:szCs w:val="19"/>
          <w:lang w:val="en-US"/>
        </w:rPr>
        <w:t>3</w:t>
      </w:r>
    </w:p>
    <w:p w14:paraId="6C4FA26E" w14:textId="77777777" w:rsidR="009E77B7" w:rsidRPr="0057086A" w:rsidRDefault="009E77B7" w:rsidP="00835004">
      <w:pPr>
        <w:ind w:left="709"/>
      </w:pPr>
    </w:p>
    <w:p w14:paraId="11F28A11" w14:textId="364453FC" w:rsidR="009C37B9" w:rsidRPr="0057086A" w:rsidRDefault="009C37B9" w:rsidP="009C37B9">
      <w:pPr>
        <w:ind w:left="709"/>
      </w:pPr>
      <w:proofErr w:type="spellStart"/>
      <w:r w:rsidRPr="0057086A">
        <w:t>Qe</w:t>
      </w:r>
      <w:proofErr w:type="spellEnd"/>
      <w:r w:rsidR="007A5A0D" w:rsidRPr="0057086A">
        <w:rPr>
          <w:lang w:val="en-US"/>
        </w:rPr>
        <w:t>(202</w:t>
      </w:r>
      <w:r w:rsidR="00581A8D">
        <w:rPr>
          <w:lang w:val="en-US"/>
        </w:rPr>
        <w:t>2</w:t>
      </w:r>
      <w:r w:rsidR="007A5A0D" w:rsidRPr="0057086A">
        <w:rPr>
          <w:lang w:val="en-US"/>
        </w:rPr>
        <w:t>/2</w:t>
      </w:r>
      <w:r w:rsidR="00581A8D">
        <w:rPr>
          <w:lang w:val="en-US"/>
        </w:rPr>
        <w:t>3</w:t>
      </w:r>
      <w:r w:rsidR="007A5A0D" w:rsidRPr="0057086A">
        <w:rPr>
          <w:lang w:val="en-US"/>
        </w:rPr>
        <w:t xml:space="preserve">) </w:t>
      </w:r>
      <w:r w:rsidRPr="0057086A">
        <w:t xml:space="preserve"> – </w:t>
      </w:r>
      <w:r w:rsidR="00356D1B">
        <w:rPr>
          <w:lang w:val="en-US"/>
        </w:rPr>
        <w:t xml:space="preserve">xxx </w:t>
      </w:r>
      <w:proofErr w:type="spellStart"/>
      <w:r w:rsidR="00356D1B">
        <w:rPr>
          <w:lang w:val="en-US"/>
        </w:rPr>
        <w:t>xxx</w:t>
      </w:r>
      <w:proofErr w:type="spellEnd"/>
      <w:r w:rsidRPr="0057086A">
        <w:rPr>
          <w:lang w:val="en-US"/>
        </w:rPr>
        <w:t xml:space="preserve"> </w:t>
      </w:r>
      <w:r w:rsidRPr="0057086A">
        <w:t xml:space="preserve">t </w:t>
      </w:r>
    </w:p>
    <w:p w14:paraId="595D4AB2" w14:textId="5D535FE4" w:rsidR="003565E4" w:rsidRPr="0057086A" w:rsidRDefault="009C37B9" w:rsidP="009C37B9">
      <w:pPr>
        <w:ind w:left="709"/>
      </w:pPr>
      <w:r w:rsidRPr="0057086A">
        <w:t>Отчетеното количество отделени емисии (</w:t>
      </w:r>
      <w:proofErr w:type="spellStart"/>
      <w:r w:rsidRPr="0057086A">
        <w:t>Qe</w:t>
      </w:r>
      <w:proofErr w:type="spellEnd"/>
      <w:r w:rsidRPr="0057086A">
        <w:t xml:space="preserve">) в размер на </w:t>
      </w:r>
      <w:r w:rsidR="008579CD" w:rsidRPr="0057086A">
        <w:t>1</w:t>
      </w:r>
      <w:r w:rsidR="00581A8D">
        <w:rPr>
          <w:lang w:val="en-US"/>
        </w:rPr>
        <w:t>4</w:t>
      </w:r>
      <w:r w:rsidR="008579CD" w:rsidRPr="0057086A">
        <w:t>1 </w:t>
      </w:r>
      <w:r w:rsidR="00581A8D">
        <w:rPr>
          <w:lang w:val="en-US"/>
        </w:rPr>
        <w:t>443</w:t>
      </w:r>
      <w:r w:rsidR="008579CD" w:rsidRPr="0057086A">
        <w:t xml:space="preserve"> </w:t>
      </w:r>
      <w:r w:rsidRPr="0057086A">
        <w:t xml:space="preserve">t са изчислени по методиката за изчисляване на годишни емисии, съгласно формуляра за докладване по чл. 6, ал. 1 от </w:t>
      </w:r>
      <w:r w:rsidRPr="0057086A">
        <w:rPr>
          <w:i/>
        </w:rPr>
        <w:t>Наредба за условията, реда и начина за изготвяне на докладите и за верификация на докладите на операторите на инсталации и на авиационните оператори и за изготвяне и проверка на заявления на нови участници</w:t>
      </w:r>
      <w:r w:rsidRPr="0057086A">
        <w:t xml:space="preserve"> (ДВ, бр. 75 от 2014 г.),</w:t>
      </w:r>
    </w:p>
    <w:p w14:paraId="6B0776AA" w14:textId="2F249C72" w:rsidR="003565E4" w:rsidRPr="0057086A" w:rsidRDefault="007A5A0D" w:rsidP="003565E4">
      <w:pPr>
        <w:ind w:left="709"/>
        <w:rPr>
          <w:color w:val="00B050"/>
        </w:rPr>
      </w:pPr>
      <w:r w:rsidRPr="0057086A">
        <w:t>От емитираното за периода 01.07.202</w:t>
      </w:r>
      <w:r w:rsidR="00581A8D">
        <w:rPr>
          <w:lang w:val="en-US"/>
        </w:rPr>
        <w:t>3</w:t>
      </w:r>
      <w:r w:rsidRPr="0057086A">
        <w:t>-30.06.202</w:t>
      </w:r>
      <w:r w:rsidR="00581A8D">
        <w:rPr>
          <w:lang w:val="en-US"/>
        </w:rPr>
        <w:t>3</w:t>
      </w:r>
      <w:r w:rsidRPr="0057086A">
        <w:t xml:space="preserve">  количество са приспаднати 50% от полагаемите и получените съгласно предварителното разпределение безплатни квоти за 202</w:t>
      </w:r>
      <w:r w:rsidR="00581A8D">
        <w:rPr>
          <w:lang w:val="en-US"/>
        </w:rPr>
        <w:t>2</w:t>
      </w:r>
      <w:r w:rsidRPr="0057086A">
        <w:t xml:space="preserve"> г. (</w:t>
      </w:r>
      <w:r w:rsidR="00356D1B">
        <w:rPr>
          <w:lang w:val="en-US"/>
        </w:rPr>
        <w:t>x xxx</w:t>
      </w:r>
      <w:r w:rsidR="00581A8D" w:rsidRPr="0057086A">
        <w:t xml:space="preserve">t = </w:t>
      </w:r>
      <w:r w:rsidR="00356D1B">
        <w:rPr>
          <w:lang w:val="en-US"/>
        </w:rPr>
        <w:t xml:space="preserve">xx </w:t>
      </w:r>
      <w:proofErr w:type="spellStart"/>
      <w:r w:rsidR="00356D1B">
        <w:rPr>
          <w:lang w:val="en-US"/>
        </w:rPr>
        <w:t>xxxt</w:t>
      </w:r>
      <w:proofErr w:type="spellEnd"/>
      <w:r w:rsidR="00581A8D" w:rsidRPr="0057086A">
        <w:t>*50%)</w:t>
      </w:r>
      <w:r w:rsidRPr="0057086A">
        <w:t xml:space="preserve">) съответстващи на </w:t>
      </w:r>
      <w:r w:rsidR="008579CD" w:rsidRPr="0057086A">
        <w:t>2</w:t>
      </w:r>
      <w:r w:rsidRPr="0057086A">
        <w:t>-</w:t>
      </w:r>
      <w:r w:rsidR="008579CD" w:rsidRPr="0057086A">
        <w:t>р</w:t>
      </w:r>
      <w:r w:rsidRPr="0057086A">
        <w:t>о полугодие на 202</w:t>
      </w:r>
      <w:r w:rsidR="00581A8D">
        <w:rPr>
          <w:lang w:val="en-US"/>
        </w:rPr>
        <w:t>2</w:t>
      </w:r>
      <w:r w:rsidR="008579CD" w:rsidRPr="0057086A">
        <w:t xml:space="preserve"> и 50 % от предвидените да бъдат получени през </w:t>
      </w:r>
      <w:r w:rsidR="008579CD" w:rsidRPr="0057086A">
        <w:lastRenderedPageBreak/>
        <w:t>202</w:t>
      </w:r>
      <w:r w:rsidR="00581A8D">
        <w:rPr>
          <w:lang w:val="en-US"/>
        </w:rPr>
        <w:t>3</w:t>
      </w:r>
      <w:r w:rsidR="008579CD" w:rsidRPr="0057086A">
        <w:t xml:space="preserve"> (съгласно предварителното разпределение безплатни емисии за 202</w:t>
      </w:r>
      <w:r w:rsidR="00581A8D">
        <w:rPr>
          <w:lang w:val="en-US"/>
        </w:rPr>
        <w:t>3</w:t>
      </w:r>
      <w:r w:rsidR="008579CD" w:rsidRPr="0057086A">
        <w:t>) (</w:t>
      </w:r>
      <w:r w:rsidR="00356D1B">
        <w:rPr>
          <w:lang w:val="en-US"/>
        </w:rPr>
        <w:t>x xxx</w:t>
      </w:r>
      <w:r w:rsidR="008579CD" w:rsidRPr="0057086A">
        <w:t xml:space="preserve">t = </w:t>
      </w:r>
      <w:r w:rsidR="00356D1B">
        <w:rPr>
          <w:lang w:val="en-US"/>
        </w:rPr>
        <w:t>xx</w:t>
      </w:r>
      <w:r w:rsidR="008579CD" w:rsidRPr="0057086A">
        <w:t xml:space="preserve"> </w:t>
      </w:r>
      <w:r w:rsidR="00356D1B">
        <w:rPr>
          <w:lang w:val="en-US"/>
        </w:rPr>
        <w:t>xxx</w:t>
      </w:r>
      <w:r w:rsidR="008579CD" w:rsidRPr="0057086A">
        <w:t>t*50%) съответстващи на 1-во полугодие на 202</w:t>
      </w:r>
      <w:r w:rsidR="00581A8D">
        <w:rPr>
          <w:lang w:val="en-US"/>
        </w:rPr>
        <w:t>3</w:t>
      </w:r>
      <w:r w:rsidR="008579CD" w:rsidRPr="0057086A">
        <w:rPr>
          <w:color w:val="00B050"/>
        </w:rPr>
        <w:t>.</w:t>
      </w:r>
    </w:p>
    <w:p w14:paraId="2A088A77" w14:textId="2001E61C" w:rsidR="007A5A0D" w:rsidRPr="0057086A" w:rsidRDefault="007A5A0D" w:rsidP="003565E4">
      <w:pPr>
        <w:ind w:left="709"/>
      </w:pPr>
    </w:p>
    <w:p w14:paraId="473C1D38" w14:textId="5582752D" w:rsidR="007A5A0D" w:rsidRPr="00581A8D" w:rsidRDefault="007A5A0D" w:rsidP="007A5A0D">
      <w:pPr>
        <w:ind w:left="709"/>
        <w:rPr>
          <w:lang w:val="en-US"/>
        </w:rPr>
      </w:pPr>
      <w:r w:rsidRPr="0057086A">
        <w:t>Прогнозната цена на въглеродните емисии (</w:t>
      </w:r>
      <w:proofErr w:type="spellStart"/>
      <w:r w:rsidRPr="0057086A">
        <w:rPr>
          <w:b/>
        </w:rPr>
        <w:t>Цпе</w:t>
      </w:r>
      <w:proofErr w:type="spellEnd"/>
      <w:r w:rsidRPr="0057086A">
        <w:t xml:space="preserve">) е </w:t>
      </w:r>
      <w:proofErr w:type="spellStart"/>
      <w:r w:rsidR="00356D1B">
        <w:rPr>
          <w:lang w:val="en-US"/>
        </w:rPr>
        <w:t>xx,xx</w:t>
      </w:r>
      <w:proofErr w:type="spellEnd"/>
      <w:r w:rsidRPr="0057086A">
        <w:t xml:space="preserve"> евро/t и е определена съгласно т.13 от Общия подход на Решение Ц-</w:t>
      </w:r>
      <w:r w:rsidR="00581A8D">
        <w:rPr>
          <w:lang w:val="en-US"/>
        </w:rPr>
        <w:t>18</w:t>
      </w:r>
      <w:r w:rsidRPr="0057086A">
        <w:t xml:space="preserve"> от 01.07.202</w:t>
      </w:r>
      <w:r w:rsidR="00581A8D">
        <w:rPr>
          <w:lang w:val="en-US"/>
        </w:rPr>
        <w:t>2</w:t>
      </w:r>
    </w:p>
    <w:p w14:paraId="0C58DF37" w14:textId="27212F5E" w:rsidR="007A5A0D" w:rsidRPr="0057086A" w:rsidRDefault="007A5A0D" w:rsidP="007A5A0D">
      <w:pPr>
        <w:ind w:left="709"/>
      </w:pPr>
      <w:r w:rsidRPr="0057086A">
        <w:t>Отчетената средна цена на въглеродните емисии на проведените първични търгове на Европейската енергийна борса за регулаторния период (</w:t>
      </w:r>
      <w:r w:rsidRPr="0057086A">
        <w:rPr>
          <w:b/>
        </w:rPr>
        <w:t>ЦII</w:t>
      </w:r>
      <w:r w:rsidRPr="0057086A">
        <w:t xml:space="preserve">) е </w:t>
      </w:r>
      <w:proofErr w:type="spellStart"/>
      <w:r w:rsidR="00356D1B">
        <w:rPr>
          <w:lang w:val="en-US"/>
        </w:rPr>
        <w:t>xx,xx</w:t>
      </w:r>
      <w:proofErr w:type="spellEnd"/>
      <w:r w:rsidRPr="0057086A">
        <w:t xml:space="preserve"> евро/t . Цената за е калкулирана на база информация от интернет страницата на Европейската енергийна борса (източник</w:t>
      </w:r>
      <w:r w:rsidRPr="0057086A">
        <w:rPr>
          <w:color w:val="00B050"/>
        </w:rPr>
        <w:t xml:space="preserve">: </w:t>
      </w:r>
      <w:hyperlink r:id="rId35" w:history="1">
        <w:r w:rsidRPr="0057086A">
          <w:rPr>
            <w:rStyle w:val="Hyperlink"/>
          </w:rPr>
          <w:t>https://www.eex.com/en/market-data/environmental-markets/auction-market</w:t>
        </w:r>
      </w:hyperlink>
      <w:r w:rsidRPr="0057086A">
        <w:t xml:space="preserve"> </w:t>
      </w:r>
    </w:p>
    <w:p w14:paraId="03E58F00" w14:textId="77777777" w:rsidR="007A5A0D" w:rsidRPr="0057086A" w:rsidRDefault="007A5A0D" w:rsidP="003565E4">
      <w:pPr>
        <w:ind w:left="709"/>
        <w:rPr>
          <w:color w:val="FF0000"/>
        </w:rPr>
      </w:pPr>
    </w:p>
    <w:p w14:paraId="14B083C6" w14:textId="108730F6" w:rsidR="00BB69D6" w:rsidRPr="0057086A" w:rsidRDefault="00BB69D6" w:rsidP="003565E4">
      <w:pPr>
        <w:ind w:left="709"/>
        <w:rPr>
          <w:color w:val="FF0000"/>
        </w:rPr>
      </w:pPr>
    </w:p>
    <w:tbl>
      <w:tblPr>
        <w:tblW w:w="9326" w:type="dxa"/>
        <w:tblCellMar>
          <w:left w:w="70" w:type="dxa"/>
          <w:right w:w="70" w:type="dxa"/>
        </w:tblCellMar>
        <w:tblLook w:val="04A0" w:firstRow="1" w:lastRow="0" w:firstColumn="1" w:lastColumn="0" w:noHBand="0" w:noVBand="1"/>
      </w:tblPr>
      <w:tblGrid>
        <w:gridCol w:w="6433"/>
        <w:gridCol w:w="1404"/>
        <w:gridCol w:w="1489"/>
      </w:tblGrid>
      <w:tr w:rsidR="00BB69D6" w:rsidRPr="0057086A" w14:paraId="73C16DE9" w14:textId="77777777" w:rsidTr="00BB69D6">
        <w:trPr>
          <w:trHeight w:val="238"/>
        </w:trPr>
        <w:tc>
          <w:tcPr>
            <w:tcW w:w="64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BB5532B"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 xml:space="preserve">Количество, </w:t>
            </w:r>
            <w:proofErr w:type="spellStart"/>
            <w:r w:rsidRPr="0057086A">
              <w:rPr>
                <w:rFonts w:eastAsia="Times New Roman" w:cs="Arial"/>
                <w:color w:val="000000"/>
                <w:spacing w:val="0"/>
                <w:lang w:eastAsia="bg-BG"/>
              </w:rPr>
              <w:t>Qе</w:t>
            </w:r>
            <w:proofErr w:type="spellEnd"/>
          </w:p>
        </w:tc>
        <w:tc>
          <w:tcPr>
            <w:tcW w:w="1404" w:type="dxa"/>
            <w:tcBorders>
              <w:top w:val="single" w:sz="8" w:space="0" w:color="auto"/>
              <w:left w:val="nil"/>
              <w:bottom w:val="single" w:sz="4" w:space="0" w:color="auto"/>
              <w:right w:val="single" w:sz="4" w:space="0" w:color="auto"/>
            </w:tcBorders>
            <w:shd w:val="clear" w:color="auto" w:fill="auto"/>
            <w:noWrap/>
            <w:vAlign w:val="bottom"/>
            <w:hideMark/>
          </w:tcPr>
          <w:p w14:paraId="26449B39"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t</w:t>
            </w:r>
          </w:p>
        </w:tc>
        <w:tc>
          <w:tcPr>
            <w:tcW w:w="1489" w:type="dxa"/>
            <w:tcBorders>
              <w:top w:val="single" w:sz="8" w:space="0" w:color="auto"/>
              <w:left w:val="nil"/>
              <w:bottom w:val="single" w:sz="4" w:space="0" w:color="auto"/>
              <w:right w:val="single" w:sz="8" w:space="0" w:color="auto"/>
            </w:tcBorders>
            <w:shd w:val="clear" w:color="auto" w:fill="auto"/>
            <w:noWrap/>
            <w:vAlign w:val="bottom"/>
            <w:hideMark/>
          </w:tcPr>
          <w:p w14:paraId="3103A443" w14:textId="57C2E413" w:rsidR="00BB69D6" w:rsidRPr="00581A8D" w:rsidRDefault="00356D1B" w:rsidP="00BB69D6">
            <w:pPr>
              <w:spacing w:line="240" w:lineRule="auto"/>
              <w:jc w:val="right"/>
              <w:rPr>
                <w:rFonts w:eastAsia="Times New Roman" w:cs="Arial"/>
                <w:color w:val="000000"/>
                <w:spacing w:val="0"/>
                <w:lang w:val="en-US" w:eastAsia="bg-BG"/>
              </w:rPr>
            </w:pPr>
            <w:r>
              <w:rPr>
                <w:rFonts w:eastAsia="Times New Roman" w:cs="Arial"/>
                <w:color w:val="000000"/>
                <w:spacing w:val="0"/>
                <w:lang w:val="en-US" w:eastAsia="bg-BG"/>
              </w:rPr>
              <w:t xml:space="preserve">xxx </w:t>
            </w:r>
            <w:proofErr w:type="spellStart"/>
            <w:r>
              <w:rPr>
                <w:rFonts w:eastAsia="Times New Roman" w:cs="Arial"/>
                <w:color w:val="000000"/>
                <w:spacing w:val="0"/>
                <w:lang w:val="en-US" w:eastAsia="bg-BG"/>
              </w:rPr>
              <w:t>xxx</w:t>
            </w:r>
            <w:proofErr w:type="spellEnd"/>
          </w:p>
        </w:tc>
      </w:tr>
      <w:tr w:rsidR="00BB69D6" w:rsidRPr="0057086A" w14:paraId="47951697" w14:textId="77777777" w:rsidTr="00BB69D6">
        <w:trPr>
          <w:trHeight w:val="238"/>
        </w:trPr>
        <w:tc>
          <w:tcPr>
            <w:tcW w:w="6433" w:type="dxa"/>
            <w:tcBorders>
              <w:top w:val="nil"/>
              <w:left w:val="single" w:sz="8" w:space="0" w:color="auto"/>
              <w:bottom w:val="single" w:sz="4" w:space="0" w:color="auto"/>
              <w:right w:val="single" w:sz="4" w:space="0" w:color="auto"/>
            </w:tcBorders>
            <w:shd w:val="clear" w:color="auto" w:fill="auto"/>
            <w:noWrap/>
            <w:vAlign w:val="bottom"/>
            <w:hideMark/>
          </w:tcPr>
          <w:p w14:paraId="5EA28019"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 xml:space="preserve">Прогнозна цена на въглеродни емисии , </w:t>
            </w:r>
            <w:proofErr w:type="spellStart"/>
            <w:r w:rsidRPr="0057086A">
              <w:rPr>
                <w:rFonts w:eastAsia="Times New Roman" w:cs="Arial"/>
                <w:color w:val="000000"/>
                <w:spacing w:val="0"/>
                <w:lang w:eastAsia="bg-BG"/>
              </w:rPr>
              <w:t>Цпе</w:t>
            </w:r>
            <w:proofErr w:type="spellEnd"/>
          </w:p>
        </w:tc>
        <w:tc>
          <w:tcPr>
            <w:tcW w:w="1404" w:type="dxa"/>
            <w:tcBorders>
              <w:top w:val="nil"/>
              <w:left w:val="nil"/>
              <w:bottom w:val="single" w:sz="4" w:space="0" w:color="auto"/>
              <w:right w:val="single" w:sz="4" w:space="0" w:color="auto"/>
            </w:tcBorders>
            <w:shd w:val="clear" w:color="auto" w:fill="auto"/>
            <w:noWrap/>
            <w:vAlign w:val="bottom"/>
            <w:hideMark/>
          </w:tcPr>
          <w:p w14:paraId="1B19340C"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евро/t</w:t>
            </w:r>
          </w:p>
        </w:tc>
        <w:tc>
          <w:tcPr>
            <w:tcW w:w="1489" w:type="dxa"/>
            <w:tcBorders>
              <w:top w:val="nil"/>
              <w:left w:val="nil"/>
              <w:bottom w:val="single" w:sz="4" w:space="0" w:color="auto"/>
              <w:right w:val="single" w:sz="8" w:space="0" w:color="auto"/>
            </w:tcBorders>
            <w:shd w:val="clear" w:color="auto" w:fill="auto"/>
            <w:noWrap/>
            <w:vAlign w:val="bottom"/>
            <w:hideMark/>
          </w:tcPr>
          <w:p w14:paraId="30EE7897" w14:textId="7DFB5CD8" w:rsidR="00BB69D6" w:rsidRPr="00581A8D" w:rsidRDefault="00356D1B" w:rsidP="00BB69D6">
            <w:pPr>
              <w:spacing w:line="240" w:lineRule="auto"/>
              <w:jc w:val="right"/>
              <w:rPr>
                <w:rFonts w:eastAsia="Times New Roman" w:cs="Arial"/>
                <w:color w:val="000000"/>
                <w:spacing w:val="0"/>
                <w:lang w:val="en-US" w:eastAsia="bg-BG"/>
              </w:rPr>
            </w:pPr>
            <w:proofErr w:type="spellStart"/>
            <w:proofErr w:type="gramStart"/>
            <w:r>
              <w:rPr>
                <w:rFonts w:eastAsia="Times New Roman" w:cs="Arial"/>
                <w:color w:val="000000"/>
                <w:spacing w:val="0"/>
                <w:lang w:val="en-US" w:eastAsia="bg-BG"/>
              </w:rPr>
              <w:t>xx,xx</w:t>
            </w:r>
            <w:proofErr w:type="spellEnd"/>
            <w:proofErr w:type="gramEnd"/>
          </w:p>
        </w:tc>
      </w:tr>
      <w:tr w:rsidR="00BB69D6" w:rsidRPr="0057086A" w14:paraId="4379EF35" w14:textId="77777777" w:rsidTr="00BB69D6">
        <w:trPr>
          <w:trHeight w:val="238"/>
        </w:trPr>
        <w:tc>
          <w:tcPr>
            <w:tcW w:w="6433" w:type="dxa"/>
            <w:tcBorders>
              <w:top w:val="nil"/>
              <w:left w:val="single" w:sz="8" w:space="0" w:color="auto"/>
              <w:bottom w:val="single" w:sz="4" w:space="0" w:color="auto"/>
              <w:right w:val="single" w:sz="4" w:space="0" w:color="auto"/>
            </w:tcBorders>
            <w:shd w:val="clear" w:color="auto" w:fill="auto"/>
            <w:noWrap/>
            <w:vAlign w:val="bottom"/>
            <w:hideMark/>
          </w:tcPr>
          <w:p w14:paraId="3D90819D"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 xml:space="preserve">Отчетена цена на въглеродни емисии , </w:t>
            </w:r>
            <w:proofErr w:type="spellStart"/>
            <w:r w:rsidRPr="0057086A">
              <w:rPr>
                <w:rFonts w:eastAsia="Times New Roman" w:cs="Arial"/>
                <w:color w:val="000000"/>
                <w:spacing w:val="0"/>
                <w:lang w:eastAsia="bg-BG"/>
              </w:rPr>
              <w:t>Цll</w:t>
            </w:r>
            <w:proofErr w:type="spellEnd"/>
          </w:p>
        </w:tc>
        <w:tc>
          <w:tcPr>
            <w:tcW w:w="1404" w:type="dxa"/>
            <w:tcBorders>
              <w:top w:val="nil"/>
              <w:left w:val="nil"/>
              <w:bottom w:val="single" w:sz="4" w:space="0" w:color="auto"/>
              <w:right w:val="single" w:sz="4" w:space="0" w:color="auto"/>
            </w:tcBorders>
            <w:shd w:val="clear" w:color="auto" w:fill="auto"/>
            <w:noWrap/>
            <w:vAlign w:val="bottom"/>
            <w:hideMark/>
          </w:tcPr>
          <w:p w14:paraId="6BC926F2"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евро/t</w:t>
            </w:r>
          </w:p>
        </w:tc>
        <w:tc>
          <w:tcPr>
            <w:tcW w:w="1489" w:type="dxa"/>
            <w:tcBorders>
              <w:top w:val="nil"/>
              <w:left w:val="nil"/>
              <w:bottom w:val="single" w:sz="4" w:space="0" w:color="auto"/>
              <w:right w:val="single" w:sz="8" w:space="0" w:color="auto"/>
            </w:tcBorders>
            <w:shd w:val="clear" w:color="auto" w:fill="auto"/>
            <w:noWrap/>
            <w:vAlign w:val="bottom"/>
            <w:hideMark/>
          </w:tcPr>
          <w:p w14:paraId="1EE7F39F" w14:textId="7EEDFDAA" w:rsidR="00BB69D6" w:rsidRPr="00581A8D" w:rsidRDefault="00356D1B" w:rsidP="00BB69D6">
            <w:pPr>
              <w:spacing w:line="240" w:lineRule="auto"/>
              <w:jc w:val="right"/>
              <w:rPr>
                <w:rFonts w:eastAsia="Times New Roman" w:cs="Arial"/>
                <w:color w:val="000000"/>
                <w:spacing w:val="0"/>
                <w:lang w:val="en-US" w:eastAsia="bg-BG"/>
              </w:rPr>
            </w:pPr>
            <w:proofErr w:type="spellStart"/>
            <w:proofErr w:type="gramStart"/>
            <w:r>
              <w:rPr>
                <w:rFonts w:eastAsia="Times New Roman" w:cs="Arial"/>
                <w:color w:val="000000"/>
                <w:spacing w:val="0"/>
                <w:lang w:val="en-US" w:eastAsia="bg-BG"/>
              </w:rPr>
              <w:t>xx,xx</w:t>
            </w:r>
            <w:proofErr w:type="spellEnd"/>
            <w:proofErr w:type="gramEnd"/>
          </w:p>
        </w:tc>
      </w:tr>
      <w:tr w:rsidR="00BB69D6" w:rsidRPr="0057086A" w14:paraId="3B5263DB" w14:textId="77777777" w:rsidTr="00BB69D6">
        <w:trPr>
          <w:trHeight w:val="294"/>
        </w:trPr>
        <w:tc>
          <w:tcPr>
            <w:tcW w:w="6433" w:type="dxa"/>
            <w:tcBorders>
              <w:top w:val="nil"/>
              <w:left w:val="single" w:sz="8" w:space="0" w:color="auto"/>
              <w:bottom w:val="single" w:sz="8" w:space="0" w:color="auto"/>
              <w:right w:val="single" w:sz="4" w:space="0" w:color="auto"/>
            </w:tcBorders>
            <w:shd w:val="clear" w:color="auto" w:fill="auto"/>
            <w:noWrap/>
            <w:vAlign w:val="bottom"/>
            <w:hideMark/>
          </w:tcPr>
          <w:p w14:paraId="37DA92EE"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надвзет/недовзет приход от въглеродни емисии</w:t>
            </w:r>
          </w:p>
        </w:tc>
        <w:tc>
          <w:tcPr>
            <w:tcW w:w="1404" w:type="dxa"/>
            <w:tcBorders>
              <w:top w:val="nil"/>
              <w:left w:val="nil"/>
              <w:bottom w:val="single" w:sz="8" w:space="0" w:color="auto"/>
              <w:right w:val="single" w:sz="4" w:space="0" w:color="auto"/>
            </w:tcBorders>
            <w:shd w:val="clear" w:color="auto" w:fill="auto"/>
            <w:noWrap/>
            <w:vAlign w:val="bottom"/>
            <w:hideMark/>
          </w:tcPr>
          <w:p w14:paraId="574383A9"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хил. лв.</w:t>
            </w:r>
          </w:p>
        </w:tc>
        <w:tc>
          <w:tcPr>
            <w:tcW w:w="1489" w:type="dxa"/>
            <w:tcBorders>
              <w:top w:val="nil"/>
              <w:left w:val="nil"/>
              <w:bottom w:val="single" w:sz="8" w:space="0" w:color="auto"/>
              <w:right w:val="single" w:sz="8" w:space="0" w:color="auto"/>
            </w:tcBorders>
            <w:shd w:val="clear" w:color="auto" w:fill="auto"/>
            <w:noWrap/>
            <w:vAlign w:val="bottom"/>
            <w:hideMark/>
          </w:tcPr>
          <w:p w14:paraId="541EC402" w14:textId="3F3FD2EE" w:rsidR="00BB69D6" w:rsidRPr="00581A8D" w:rsidRDefault="00356D1B" w:rsidP="00BB69D6">
            <w:pPr>
              <w:spacing w:line="240" w:lineRule="auto"/>
              <w:jc w:val="right"/>
              <w:rPr>
                <w:rFonts w:eastAsia="Times New Roman" w:cs="Calibri"/>
                <w:color w:val="000000"/>
                <w:spacing w:val="0"/>
                <w:lang w:val="en-US" w:eastAsia="bg-BG"/>
              </w:rPr>
            </w:pPr>
            <w:r>
              <w:rPr>
                <w:rFonts w:eastAsia="Times New Roman" w:cs="Calibri"/>
                <w:color w:val="000000"/>
                <w:spacing w:val="0"/>
                <w:lang w:val="en-US" w:eastAsia="bg-BG"/>
              </w:rPr>
              <w:t xml:space="preserve">x </w:t>
            </w:r>
            <w:proofErr w:type="spellStart"/>
            <w:proofErr w:type="gramStart"/>
            <w:r>
              <w:rPr>
                <w:rFonts w:eastAsia="Times New Roman" w:cs="Calibri"/>
                <w:color w:val="000000"/>
                <w:spacing w:val="0"/>
                <w:lang w:val="en-US" w:eastAsia="bg-BG"/>
              </w:rPr>
              <w:t>xxx,xx</w:t>
            </w:r>
            <w:proofErr w:type="spellEnd"/>
            <w:proofErr w:type="gramEnd"/>
          </w:p>
        </w:tc>
      </w:tr>
    </w:tbl>
    <w:p w14:paraId="06F43846" w14:textId="0D521F10" w:rsidR="00FE20B4" w:rsidRPr="00581A8D" w:rsidRDefault="00FE20B4" w:rsidP="00FE20B4">
      <w:pPr>
        <w:ind w:left="709"/>
        <w:rPr>
          <w:lang w:val="en-US"/>
        </w:rPr>
      </w:pPr>
    </w:p>
    <w:p w14:paraId="1E426D7C" w14:textId="34C845F7" w:rsidR="00FE20B4" w:rsidRPr="00155BBB" w:rsidRDefault="00FE20B4" w:rsidP="00FE20B4">
      <w:pPr>
        <w:ind w:left="709"/>
        <w:rPr>
          <w:color w:val="000000" w:themeColor="text1"/>
        </w:rPr>
      </w:pPr>
      <w:r w:rsidRPr="00155BBB">
        <w:rPr>
          <w:color w:val="000000" w:themeColor="text1"/>
        </w:rPr>
        <w:t>С решение Ц-</w:t>
      </w:r>
      <w:r w:rsidR="008579CD" w:rsidRPr="00155BBB">
        <w:rPr>
          <w:color w:val="000000" w:themeColor="text1"/>
        </w:rPr>
        <w:t>1</w:t>
      </w:r>
      <w:r w:rsidR="00581A8D" w:rsidRPr="00155BBB">
        <w:rPr>
          <w:color w:val="000000" w:themeColor="text1"/>
          <w:lang w:val="en-US"/>
        </w:rPr>
        <w:t>2</w:t>
      </w:r>
      <w:r w:rsidRPr="00155BBB">
        <w:rPr>
          <w:color w:val="000000" w:themeColor="text1"/>
        </w:rPr>
        <w:t xml:space="preserve"> от 01.07.202</w:t>
      </w:r>
      <w:r w:rsidR="00581A8D" w:rsidRPr="00155BBB">
        <w:rPr>
          <w:color w:val="000000" w:themeColor="text1"/>
          <w:lang w:val="en-US"/>
        </w:rPr>
        <w:t>3</w:t>
      </w:r>
      <w:r w:rsidRPr="00155BBB">
        <w:rPr>
          <w:color w:val="000000" w:themeColor="text1"/>
          <w:lang w:val="en-US"/>
        </w:rPr>
        <w:t xml:space="preserve"> </w:t>
      </w:r>
      <w:r w:rsidRPr="00155BBB">
        <w:rPr>
          <w:color w:val="000000" w:themeColor="text1"/>
        </w:rPr>
        <w:t>за периода 01.07.202</w:t>
      </w:r>
      <w:r w:rsidR="00581A8D" w:rsidRPr="00155BBB">
        <w:rPr>
          <w:color w:val="000000" w:themeColor="text1"/>
          <w:lang w:val="en-US"/>
        </w:rPr>
        <w:t>3</w:t>
      </w:r>
      <w:r w:rsidRPr="00155BBB">
        <w:rPr>
          <w:color w:val="000000" w:themeColor="text1"/>
        </w:rPr>
        <w:t>-30.06.202</w:t>
      </w:r>
      <w:r w:rsidR="00581A8D" w:rsidRPr="00155BBB">
        <w:rPr>
          <w:color w:val="000000" w:themeColor="text1"/>
          <w:lang w:val="en-US"/>
        </w:rPr>
        <w:t>4</w:t>
      </w:r>
      <w:r w:rsidRPr="00155BBB">
        <w:rPr>
          <w:color w:val="000000" w:themeColor="text1"/>
        </w:rPr>
        <w:t xml:space="preserve"> е калкулирана корекция по въглеродни емисии в размер на </w:t>
      </w:r>
      <w:r w:rsidR="00356D1B">
        <w:rPr>
          <w:color w:val="000000" w:themeColor="text1"/>
          <w:lang w:val="en-US"/>
        </w:rPr>
        <w:t xml:space="preserve">x </w:t>
      </w:r>
      <w:proofErr w:type="spellStart"/>
      <w:r w:rsidR="00356D1B">
        <w:rPr>
          <w:color w:val="000000" w:themeColor="text1"/>
          <w:lang w:val="en-US"/>
        </w:rPr>
        <w:t>xxx,xx</w:t>
      </w:r>
      <w:proofErr w:type="spellEnd"/>
      <w:r w:rsidR="00356D1B">
        <w:rPr>
          <w:color w:val="000000" w:themeColor="text1"/>
          <w:lang w:val="en-US"/>
        </w:rPr>
        <w:t xml:space="preserve"> </w:t>
      </w:r>
      <w:r w:rsidRPr="00155BBB">
        <w:rPr>
          <w:color w:val="000000" w:themeColor="text1"/>
        </w:rPr>
        <w:t>хил. лв.</w:t>
      </w:r>
    </w:p>
    <w:p w14:paraId="2D6DF827" w14:textId="6DE537E9" w:rsidR="00BB69D6" w:rsidRPr="00155BBB" w:rsidRDefault="00BB69D6" w:rsidP="003565E4">
      <w:pPr>
        <w:ind w:left="709"/>
        <w:rPr>
          <w:color w:val="000000" w:themeColor="text1"/>
        </w:rPr>
      </w:pPr>
    </w:p>
    <w:p w14:paraId="410C9E5B" w14:textId="72F0F444" w:rsidR="00FE20B4" w:rsidRPr="00155BBB" w:rsidRDefault="00FE20B4" w:rsidP="00FE20B4">
      <w:pPr>
        <w:ind w:left="709"/>
        <w:rPr>
          <w:color w:val="000000" w:themeColor="text1"/>
        </w:rPr>
      </w:pPr>
      <w:r w:rsidRPr="00155BBB">
        <w:rPr>
          <w:color w:val="000000" w:themeColor="text1"/>
        </w:rPr>
        <w:t xml:space="preserve">В резултат разходите за въглеродни емисии в резултат на прогнозни количества и разходи, използвани за определяне на Ht-1 следва допълнително да се коригират с </w:t>
      </w:r>
      <w:r w:rsidR="00356D1B">
        <w:rPr>
          <w:color w:val="000000" w:themeColor="text1"/>
          <w:lang w:val="en-US"/>
        </w:rPr>
        <w:t>x xxx</w:t>
      </w:r>
      <w:r w:rsidRPr="00155BBB">
        <w:rPr>
          <w:color w:val="000000" w:themeColor="text1"/>
        </w:rPr>
        <w:t xml:space="preserve">– </w:t>
      </w:r>
      <w:r w:rsidR="00356D1B">
        <w:rPr>
          <w:color w:val="000000" w:themeColor="text1"/>
          <w:lang w:val="en-US"/>
        </w:rPr>
        <w:t>x xxx</w:t>
      </w:r>
      <w:r w:rsidRPr="00155BBB">
        <w:rPr>
          <w:color w:val="000000" w:themeColor="text1"/>
        </w:rPr>
        <w:t xml:space="preserve">  = </w:t>
      </w:r>
      <w:proofErr w:type="spellStart"/>
      <w:r w:rsidR="00356D1B">
        <w:rPr>
          <w:color w:val="000000" w:themeColor="text1"/>
          <w:lang w:val="en-US"/>
        </w:rPr>
        <w:t>xx,xx</w:t>
      </w:r>
      <w:proofErr w:type="spellEnd"/>
      <w:r w:rsidRPr="00155BBB">
        <w:rPr>
          <w:color w:val="000000" w:themeColor="text1"/>
        </w:rPr>
        <w:t xml:space="preserve"> хил. лв.</w:t>
      </w:r>
    </w:p>
    <w:p w14:paraId="18603618" w14:textId="3A3E0764" w:rsidR="003565E4" w:rsidRPr="00155BBB" w:rsidRDefault="003565E4" w:rsidP="003565E4">
      <w:pPr>
        <w:ind w:left="709"/>
        <w:rPr>
          <w:color w:val="000000" w:themeColor="text1"/>
        </w:rPr>
      </w:pPr>
    </w:p>
    <w:p w14:paraId="3AE77214" w14:textId="614D2189" w:rsidR="0077593A" w:rsidRPr="00155BBB" w:rsidRDefault="0077593A" w:rsidP="003565E4">
      <w:pPr>
        <w:ind w:left="709"/>
        <w:rPr>
          <w:color w:val="000000" w:themeColor="text1"/>
        </w:rPr>
      </w:pPr>
      <w:r w:rsidRPr="00155BBB">
        <w:rPr>
          <w:color w:val="000000" w:themeColor="text1"/>
          <w:lang w:val="en-US"/>
        </w:rPr>
        <w:t>Pt-1</w:t>
      </w:r>
      <w:r w:rsidRPr="00155BBB">
        <w:rPr>
          <w:color w:val="000000" w:themeColor="text1"/>
        </w:rPr>
        <w:t xml:space="preserve"> = </w:t>
      </w:r>
      <w:r w:rsidR="00356D1B">
        <w:rPr>
          <w:color w:val="000000" w:themeColor="text1"/>
          <w:lang w:val="en-US"/>
        </w:rPr>
        <w:t>-</w:t>
      </w:r>
      <w:proofErr w:type="spellStart"/>
      <w:r w:rsidR="00356D1B">
        <w:rPr>
          <w:color w:val="000000" w:themeColor="text1"/>
          <w:lang w:val="en-US"/>
        </w:rPr>
        <w:t>xx</w:t>
      </w:r>
      <w:r w:rsidR="00FC3A0E" w:rsidRPr="00155BBB">
        <w:rPr>
          <w:color w:val="000000" w:themeColor="text1"/>
          <w:lang w:val="en-US"/>
        </w:rPr>
        <w:t>+</w:t>
      </w:r>
      <w:r w:rsidR="00356D1B">
        <w:rPr>
          <w:color w:val="000000" w:themeColor="text1"/>
          <w:lang w:val="en-US"/>
        </w:rPr>
        <w:t>xx</w:t>
      </w:r>
      <w:proofErr w:type="spellEnd"/>
      <w:r w:rsidRPr="00155BBB">
        <w:rPr>
          <w:color w:val="000000" w:themeColor="text1"/>
        </w:rPr>
        <w:t xml:space="preserve">= </w:t>
      </w:r>
      <w:proofErr w:type="spellStart"/>
      <w:proofErr w:type="gramStart"/>
      <w:r w:rsidR="00356D1B">
        <w:rPr>
          <w:color w:val="000000" w:themeColor="text1"/>
          <w:lang w:val="en-US"/>
        </w:rPr>
        <w:t>x,x</w:t>
      </w:r>
      <w:proofErr w:type="spellEnd"/>
      <w:proofErr w:type="gramEnd"/>
      <w:r w:rsidRPr="00155BBB">
        <w:rPr>
          <w:color w:val="000000" w:themeColor="text1"/>
        </w:rPr>
        <w:t xml:space="preserve"> хил. лв. </w:t>
      </w:r>
    </w:p>
    <w:p w14:paraId="14CA5DD1" w14:textId="77777777" w:rsidR="00FE20B4" w:rsidRPr="00155BBB" w:rsidRDefault="00FE20B4" w:rsidP="003565E4">
      <w:pPr>
        <w:ind w:left="709"/>
        <w:rPr>
          <w:color w:val="000000" w:themeColor="text1"/>
        </w:rPr>
      </w:pPr>
    </w:p>
    <w:p w14:paraId="3E080492" w14:textId="11A3A07B" w:rsidR="003565E4" w:rsidRPr="00155BBB" w:rsidRDefault="00F62A11" w:rsidP="00F62A11">
      <w:pPr>
        <w:pStyle w:val="ListParagraph"/>
        <w:numPr>
          <w:ilvl w:val="0"/>
          <w:numId w:val="34"/>
        </w:numPr>
        <w:rPr>
          <w:rFonts w:ascii="Frutiger Next for EVN Light" w:hAnsi="Frutiger Next for EVN Light"/>
          <w:color w:val="000000" w:themeColor="text1"/>
          <w:sz w:val="19"/>
          <w:szCs w:val="19"/>
          <w:lang w:val="bg-BG"/>
        </w:rPr>
      </w:pPr>
      <w:r w:rsidRPr="00155BBB">
        <w:rPr>
          <w:rFonts w:ascii="Frutiger Next for EVN Light" w:hAnsi="Frutiger Next for EVN Light"/>
          <w:color w:val="000000" w:themeColor="text1"/>
          <w:sz w:val="19"/>
          <w:szCs w:val="19"/>
          <w:lang w:val="bg-BG"/>
        </w:rPr>
        <w:t xml:space="preserve">Калкулация на </w:t>
      </w:r>
      <w:proofErr w:type="spellStart"/>
      <w:r w:rsidRPr="00155BBB">
        <w:rPr>
          <w:rFonts w:ascii="Frutiger Next for EVN Light" w:hAnsi="Frutiger Next for EVN Light"/>
          <w:color w:val="000000" w:themeColor="text1"/>
          <w:sz w:val="19"/>
          <w:szCs w:val="19"/>
          <w:lang w:val="bg-BG"/>
        </w:rPr>
        <w:t>Нt</w:t>
      </w:r>
      <w:proofErr w:type="spellEnd"/>
    </w:p>
    <w:p w14:paraId="54A42450" w14:textId="77777777" w:rsidR="003565E4" w:rsidRPr="00155BBB" w:rsidRDefault="003565E4" w:rsidP="003565E4">
      <w:pPr>
        <w:ind w:left="709"/>
        <w:rPr>
          <w:color w:val="000000" w:themeColor="text1"/>
        </w:rPr>
      </w:pPr>
      <w:r w:rsidRPr="00155BBB">
        <w:rPr>
          <w:color w:val="000000" w:themeColor="text1"/>
        </w:rPr>
        <w:t xml:space="preserve">Дружеството е калкулирало корекция на необходимите приходи съгласно формулата </w:t>
      </w:r>
    </w:p>
    <w:p w14:paraId="3811F1A5" w14:textId="77777777" w:rsidR="003565E4" w:rsidRPr="00155BBB" w:rsidRDefault="003565E4" w:rsidP="003565E4">
      <w:pPr>
        <w:ind w:left="709"/>
        <w:rPr>
          <w:color w:val="000000" w:themeColor="text1"/>
        </w:rPr>
      </w:pPr>
      <w:proofErr w:type="spellStart"/>
      <w:r w:rsidRPr="00155BBB">
        <w:rPr>
          <w:color w:val="000000" w:themeColor="text1"/>
        </w:rPr>
        <w:t>Нt</w:t>
      </w:r>
      <w:proofErr w:type="spellEnd"/>
      <w:r w:rsidRPr="00155BBB">
        <w:rPr>
          <w:color w:val="000000" w:themeColor="text1"/>
        </w:rPr>
        <w:t xml:space="preserve"> = </w:t>
      </w:r>
      <w:proofErr w:type="spellStart"/>
      <w:r w:rsidRPr="00155BBB">
        <w:rPr>
          <w:color w:val="000000" w:themeColor="text1"/>
        </w:rPr>
        <w:t>Qg</w:t>
      </w:r>
      <w:proofErr w:type="spellEnd"/>
      <w:r w:rsidRPr="00155BBB">
        <w:rPr>
          <w:color w:val="000000" w:themeColor="text1"/>
        </w:rPr>
        <w:t xml:space="preserve"> * (</w:t>
      </w:r>
      <w:proofErr w:type="spellStart"/>
      <w:r w:rsidRPr="00155BBB">
        <w:rPr>
          <w:color w:val="000000" w:themeColor="text1"/>
        </w:rPr>
        <w:t>Цпг</w:t>
      </w:r>
      <w:proofErr w:type="spellEnd"/>
      <w:r w:rsidRPr="00155BBB">
        <w:rPr>
          <w:color w:val="000000" w:themeColor="text1"/>
        </w:rPr>
        <w:t xml:space="preserve"> – ЦI)t + </w:t>
      </w:r>
      <w:proofErr w:type="spellStart"/>
      <w:r w:rsidRPr="00155BBB">
        <w:rPr>
          <w:color w:val="000000" w:themeColor="text1"/>
        </w:rPr>
        <w:t>Qe</w:t>
      </w:r>
      <w:proofErr w:type="spellEnd"/>
      <w:r w:rsidRPr="00155BBB">
        <w:rPr>
          <w:color w:val="000000" w:themeColor="text1"/>
        </w:rPr>
        <w:t>*(</w:t>
      </w:r>
      <w:proofErr w:type="spellStart"/>
      <w:r w:rsidRPr="00155BBB">
        <w:rPr>
          <w:color w:val="000000" w:themeColor="text1"/>
        </w:rPr>
        <w:t>Цпе</w:t>
      </w:r>
      <w:proofErr w:type="spellEnd"/>
      <w:r w:rsidRPr="00155BBB">
        <w:rPr>
          <w:color w:val="000000" w:themeColor="text1"/>
        </w:rPr>
        <w:t xml:space="preserve"> – ЦII)t ± Pt-1</w:t>
      </w:r>
    </w:p>
    <w:p w14:paraId="237025F4" w14:textId="36FC4C4A" w:rsidR="003565E4" w:rsidRPr="00155BBB" w:rsidRDefault="003565E4" w:rsidP="003565E4">
      <w:pPr>
        <w:ind w:left="709"/>
        <w:rPr>
          <w:color w:val="000000" w:themeColor="text1"/>
        </w:rPr>
      </w:pPr>
      <w:proofErr w:type="spellStart"/>
      <w:r w:rsidRPr="00155BBB">
        <w:rPr>
          <w:color w:val="000000" w:themeColor="text1"/>
        </w:rPr>
        <w:t>Нt</w:t>
      </w:r>
      <w:proofErr w:type="spellEnd"/>
      <w:r w:rsidRPr="00155BBB">
        <w:rPr>
          <w:color w:val="000000" w:themeColor="text1"/>
        </w:rPr>
        <w:t xml:space="preserve"> = </w:t>
      </w:r>
      <w:r w:rsidR="00356D1B">
        <w:rPr>
          <w:color w:val="000000" w:themeColor="text1"/>
          <w:lang w:val="en-US"/>
        </w:rPr>
        <w:t xml:space="preserve">xxx </w:t>
      </w:r>
      <w:proofErr w:type="spellStart"/>
      <w:r w:rsidR="00356D1B">
        <w:rPr>
          <w:color w:val="000000" w:themeColor="text1"/>
          <w:lang w:val="en-US"/>
        </w:rPr>
        <w:t>xxx</w:t>
      </w:r>
      <w:proofErr w:type="spellEnd"/>
      <w:r w:rsidRPr="00155BBB">
        <w:rPr>
          <w:color w:val="000000" w:themeColor="text1"/>
        </w:rPr>
        <w:t>*(</w:t>
      </w:r>
      <w:proofErr w:type="spellStart"/>
      <w:r w:rsidR="00356D1B">
        <w:rPr>
          <w:color w:val="000000" w:themeColor="text1"/>
          <w:lang w:val="en-US"/>
        </w:rPr>
        <w:t>xx,xx</w:t>
      </w:r>
      <w:proofErr w:type="spellEnd"/>
      <w:r w:rsidRPr="00155BBB">
        <w:rPr>
          <w:color w:val="000000" w:themeColor="text1"/>
        </w:rPr>
        <w:t>-</w:t>
      </w:r>
      <w:r w:rsidR="00356D1B">
        <w:rPr>
          <w:color w:val="000000" w:themeColor="text1"/>
          <w:lang w:val="en-US"/>
        </w:rPr>
        <w:t>xx</w:t>
      </w:r>
      <w:r w:rsidR="00194400" w:rsidRPr="00155BBB">
        <w:rPr>
          <w:color w:val="000000" w:themeColor="text1"/>
        </w:rPr>
        <w:t>,</w:t>
      </w:r>
      <w:r w:rsidR="00356D1B">
        <w:rPr>
          <w:color w:val="000000" w:themeColor="text1"/>
          <w:lang w:val="en-US"/>
        </w:rPr>
        <w:t>xx</w:t>
      </w:r>
      <w:r w:rsidRPr="00155BBB">
        <w:rPr>
          <w:color w:val="000000" w:themeColor="text1"/>
        </w:rPr>
        <w:t>)</w:t>
      </w:r>
      <w:r w:rsidR="000A7E2C" w:rsidRPr="00155BBB">
        <w:rPr>
          <w:color w:val="000000" w:themeColor="text1"/>
        </w:rPr>
        <w:t>/1000</w:t>
      </w:r>
      <w:r w:rsidR="00BF62D8" w:rsidRPr="00155BBB">
        <w:rPr>
          <w:color w:val="000000" w:themeColor="text1"/>
        </w:rPr>
        <w:t xml:space="preserve"> </w:t>
      </w:r>
      <w:r w:rsidRPr="00155BBB">
        <w:rPr>
          <w:color w:val="000000" w:themeColor="text1"/>
        </w:rPr>
        <w:t>+</w:t>
      </w:r>
      <w:r w:rsidR="00356D1B">
        <w:rPr>
          <w:color w:val="000000" w:themeColor="text1"/>
          <w:lang w:val="en-US"/>
        </w:rPr>
        <w:t>xxx</w:t>
      </w:r>
      <w:r w:rsidR="00A04A91" w:rsidRPr="00155BBB">
        <w:rPr>
          <w:color w:val="000000" w:themeColor="text1"/>
        </w:rPr>
        <w:t xml:space="preserve"> </w:t>
      </w:r>
      <w:proofErr w:type="spellStart"/>
      <w:r w:rsidR="00356D1B">
        <w:rPr>
          <w:color w:val="000000" w:themeColor="text1"/>
          <w:lang w:val="en-US"/>
        </w:rPr>
        <w:t>xxx</w:t>
      </w:r>
      <w:proofErr w:type="spellEnd"/>
      <w:r w:rsidRPr="00155BBB">
        <w:rPr>
          <w:color w:val="000000" w:themeColor="text1"/>
        </w:rPr>
        <w:t>*(</w:t>
      </w:r>
      <w:r w:rsidR="00356D1B">
        <w:rPr>
          <w:color w:val="000000" w:themeColor="text1"/>
          <w:lang w:val="en-US"/>
        </w:rPr>
        <w:t>xxx</w:t>
      </w:r>
      <w:r w:rsidR="00194400" w:rsidRPr="00155BBB">
        <w:rPr>
          <w:color w:val="000000" w:themeColor="text1"/>
        </w:rPr>
        <w:t>,</w:t>
      </w:r>
      <w:r w:rsidR="00356D1B">
        <w:rPr>
          <w:color w:val="000000" w:themeColor="text1"/>
          <w:lang w:val="en-US"/>
        </w:rPr>
        <w:t>xx</w:t>
      </w:r>
      <w:r w:rsidRPr="00155BBB">
        <w:rPr>
          <w:color w:val="000000" w:themeColor="text1"/>
        </w:rPr>
        <w:t>-</w:t>
      </w:r>
      <w:r w:rsidR="00356D1B">
        <w:rPr>
          <w:color w:val="000000" w:themeColor="text1"/>
          <w:lang w:val="en-US"/>
        </w:rPr>
        <w:t>xxx</w:t>
      </w:r>
      <w:r w:rsidR="00194400" w:rsidRPr="00155BBB">
        <w:rPr>
          <w:color w:val="000000" w:themeColor="text1"/>
        </w:rPr>
        <w:t>,</w:t>
      </w:r>
      <w:r w:rsidR="00356D1B">
        <w:rPr>
          <w:color w:val="000000" w:themeColor="text1"/>
          <w:lang w:val="en-US"/>
        </w:rPr>
        <w:t>xx</w:t>
      </w:r>
      <w:r w:rsidRPr="00155BBB">
        <w:rPr>
          <w:color w:val="000000" w:themeColor="text1"/>
        </w:rPr>
        <w:t>)</w:t>
      </w:r>
      <w:r w:rsidR="000A7E2C" w:rsidRPr="00155BBB">
        <w:rPr>
          <w:color w:val="000000" w:themeColor="text1"/>
        </w:rPr>
        <w:t>/1000</w:t>
      </w:r>
      <w:r w:rsidRPr="00155BBB">
        <w:rPr>
          <w:color w:val="000000" w:themeColor="text1"/>
        </w:rPr>
        <w:t xml:space="preserve"> </w:t>
      </w:r>
      <w:r w:rsidR="0077593A" w:rsidRPr="00155BBB">
        <w:rPr>
          <w:color w:val="000000" w:themeColor="text1"/>
        </w:rPr>
        <w:t>-</w:t>
      </w:r>
      <w:r w:rsidR="00356D1B">
        <w:rPr>
          <w:color w:val="000000" w:themeColor="text1"/>
          <w:lang w:val="en-US"/>
        </w:rPr>
        <w:t>x</w:t>
      </w:r>
      <w:r w:rsidR="0077593A" w:rsidRPr="00155BBB">
        <w:rPr>
          <w:color w:val="000000" w:themeColor="text1"/>
        </w:rPr>
        <w:t>,</w:t>
      </w:r>
      <w:r w:rsidR="00356D1B">
        <w:rPr>
          <w:color w:val="000000" w:themeColor="text1"/>
          <w:lang w:val="en-US"/>
        </w:rPr>
        <w:t>x</w:t>
      </w:r>
      <w:r w:rsidR="003B3689" w:rsidRPr="00155BBB">
        <w:rPr>
          <w:color w:val="000000" w:themeColor="text1"/>
          <w:lang w:val="en-US"/>
        </w:rPr>
        <w:t xml:space="preserve"> = </w:t>
      </w:r>
      <w:r w:rsidR="00356D1B">
        <w:rPr>
          <w:color w:val="000000" w:themeColor="text1"/>
          <w:lang w:val="en-US"/>
        </w:rPr>
        <w:t>xx</w:t>
      </w:r>
      <w:r w:rsidR="00FC3A0E" w:rsidRPr="00155BBB">
        <w:rPr>
          <w:color w:val="000000" w:themeColor="text1"/>
          <w:lang w:val="en-US"/>
        </w:rPr>
        <w:t xml:space="preserve"> </w:t>
      </w:r>
      <w:r w:rsidR="00356D1B">
        <w:rPr>
          <w:color w:val="000000" w:themeColor="text1"/>
          <w:lang w:val="en-US"/>
        </w:rPr>
        <w:t>xxx</w:t>
      </w:r>
      <w:r w:rsidR="009D71CD" w:rsidRPr="00155BBB">
        <w:rPr>
          <w:color w:val="000000" w:themeColor="text1"/>
          <w:lang w:val="en-US"/>
        </w:rPr>
        <w:t xml:space="preserve"> </w:t>
      </w:r>
      <w:r w:rsidR="009D71CD" w:rsidRPr="00155BBB">
        <w:rPr>
          <w:color w:val="000000" w:themeColor="text1"/>
        </w:rPr>
        <w:t>хил. лв.</w:t>
      </w:r>
    </w:p>
    <w:p w14:paraId="206CC168" w14:textId="1F712661" w:rsidR="003565E4" w:rsidRDefault="003565E4" w:rsidP="003565E4">
      <w:pPr>
        <w:ind w:left="709"/>
        <w:rPr>
          <w:color w:val="000000" w:themeColor="text1"/>
        </w:rPr>
      </w:pPr>
      <w:proofErr w:type="spellStart"/>
      <w:r w:rsidRPr="00155BBB">
        <w:rPr>
          <w:color w:val="000000" w:themeColor="text1"/>
        </w:rPr>
        <w:t>Нt</w:t>
      </w:r>
      <w:proofErr w:type="spellEnd"/>
      <w:r w:rsidRPr="00155BBB">
        <w:rPr>
          <w:color w:val="000000" w:themeColor="text1"/>
        </w:rPr>
        <w:t xml:space="preserve"> = </w:t>
      </w:r>
      <w:r w:rsidR="00FC3A0E" w:rsidRPr="00155BBB">
        <w:rPr>
          <w:color w:val="000000" w:themeColor="text1"/>
          <w:lang w:val="en-US"/>
        </w:rPr>
        <w:t>-</w:t>
      </w:r>
      <w:r w:rsidR="00356D1B">
        <w:rPr>
          <w:color w:val="000000" w:themeColor="text1"/>
          <w:lang w:val="en-US"/>
        </w:rPr>
        <w:t>xx xxx</w:t>
      </w:r>
      <w:r w:rsidR="00DF2F8A" w:rsidRPr="00155BBB">
        <w:rPr>
          <w:color w:val="000000" w:themeColor="text1"/>
          <w:lang w:val="en-US"/>
        </w:rPr>
        <w:t xml:space="preserve"> </w:t>
      </w:r>
      <w:r w:rsidRPr="00155BBB">
        <w:rPr>
          <w:color w:val="000000" w:themeColor="text1"/>
        </w:rPr>
        <w:t>лв.</w:t>
      </w:r>
    </w:p>
    <w:p w14:paraId="2D906B74" w14:textId="77777777" w:rsidR="00DF6867" w:rsidRDefault="00DF6867" w:rsidP="003565E4">
      <w:pPr>
        <w:ind w:left="709"/>
        <w:rPr>
          <w:color w:val="000000" w:themeColor="text1"/>
        </w:rPr>
      </w:pPr>
    </w:p>
    <w:p w14:paraId="2A984329" w14:textId="283D54DE" w:rsidR="00DF6867" w:rsidRPr="00155BBB" w:rsidRDefault="00DF6867" w:rsidP="00DF6867">
      <w:pPr>
        <w:ind w:left="709"/>
        <w:rPr>
          <w:color w:val="000000" w:themeColor="text1"/>
        </w:rPr>
      </w:pPr>
      <w:r>
        <w:rPr>
          <w:color w:val="000000" w:themeColor="text1"/>
        </w:rPr>
        <w:t>В съответствие с т.14 от общия подход на Ценово решение Ц-12 от 01.07.2023 т</w:t>
      </w:r>
      <w:r w:rsidRPr="00DF6867">
        <w:rPr>
          <w:color w:val="000000" w:themeColor="text1"/>
        </w:rPr>
        <w:t>ези корекции на необходимите годишни приходи са отразени при изчисленията на преференциалните цени на електрическата енергия.</w:t>
      </w:r>
    </w:p>
    <w:p w14:paraId="07447C5D" w14:textId="77777777" w:rsidR="003565E4" w:rsidRPr="00155BBB" w:rsidRDefault="003565E4" w:rsidP="003565E4">
      <w:pPr>
        <w:ind w:left="709"/>
        <w:rPr>
          <w:color w:val="000000" w:themeColor="text1"/>
        </w:rPr>
      </w:pPr>
    </w:p>
    <w:p w14:paraId="4DD6D169" w14:textId="6DF9D2A7" w:rsidR="00E25505" w:rsidRPr="00155BBB" w:rsidRDefault="00E25505" w:rsidP="003565E4">
      <w:pPr>
        <w:ind w:left="709"/>
        <w:rPr>
          <w:color w:val="000000" w:themeColor="text1"/>
        </w:rPr>
      </w:pPr>
      <w:r w:rsidRPr="00155BBB">
        <w:rPr>
          <w:color w:val="000000" w:themeColor="text1"/>
        </w:rPr>
        <w:t>С Наредба за изменение и допълнение на Наредба № 5 от 2014 г. за регулиране на цените на топлинната енергия (</w:t>
      </w:r>
      <w:r w:rsidR="003C3152" w:rsidRPr="00155BBB">
        <w:rPr>
          <w:color w:val="000000" w:themeColor="text1"/>
        </w:rPr>
        <w:t xml:space="preserve">ДВ, </w:t>
      </w:r>
      <w:r w:rsidRPr="00155BBB">
        <w:rPr>
          <w:color w:val="000000" w:themeColor="text1"/>
        </w:rPr>
        <w:t>брой: 47</w:t>
      </w:r>
      <w:r w:rsidR="003C3152" w:rsidRPr="00155BBB">
        <w:rPr>
          <w:color w:val="000000" w:themeColor="text1"/>
        </w:rPr>
        <w:t xml:space="preserve"> от 2020</w:t>
      </w:r>
      <w:r w:rsidRPr="00155BBB">
        <w:rPr>
          <w:color w:val="000000" w:themeColor="text1"/>
        </w:rPr>
        <w:t xml:space="preserve">, </w:t>
      </w:r>
      <w:r w:rsidR="003C3152" w:rsidRPr="00155BBB">
        <w:rPr>
          <w:color w:val="000000" w:themeColor="text1"/>
        </w:rPr>
        <w:t xml:space="preserve">в сила </w:t>
      </w:r>
      <w:r w:rsidRPr="00155BBB">
        <w:rPr>
          <w:color w:val="000000" w:themeColor="text1"/>
        </w:rPr>
        <w:t xml:space="preserve">от 22.5.2020 г.) в чл.8 са създадени алинеи 8, 9, 10, 11. Създаването на алинеи 10 и 11 е продиктувано от необходимостта да бъдат коригирани естествените разлики между  прогнозните и отчетените разходи, формиращи разходите за основно гориво – природен газ и разходите за квоти за въглеродни емисии. С оглед на голямата волатилност на енергийния пазар такива разлики неизменно възникват. Същото обаче трябва да се </w:t>
      </w:r>
      <w:r w:rsidR="003C3152" w:rsidRPr="00155BBB">
        <w:rPr>
          <w:color w:val="000000" w:themeColor="text1"/>
        </w:rPr>
        <w:t>има предвид</w:t>
      </w:r>
      <w:r w:rsidRPr="00155BBB">
        <w:rPr>
          <w:color w:val="000000" w:themeColor="text1"/>
        </w:rPr>
        <w:t xml:space="preserve"> и за пазарната цена на електрическата енергия. Свидетели сме, как през последните години тя претърпя </w:t>
      </w:r>
      <w:r w:rsidR="003C3152" w:rsidRPr="00155BBB">
        <w:rPr>
          <w:color w:val="000000" w:themeColor="text1"/>
        </w:rPr>
        <w:t xml:space="preserve">съществени промени. Също така трябва да се отбележи, че трендовете на нейното развитие, макар и в различна степен, са сходни с тези на развитието на цената на природния газ, което още веднъж показва, че можем да очакваме сходни ефекти касаещи разликите между прогноза и отчет. С оглед на факта, че прогнозната цена на електрическата енергия играе съществена роля в ценообразуването, а именно като </w:t>
      </w:r>
      <w:r w:rsidR="005A4DBF" w:rsidRPr="00155BBB">
        <w:rPr>
          <w:color w:val="000000" w:themeColor="text1"/>
        </w:rPr>
        <w:t>референтна при определянето на</w:t>
      </w:r>
      <w:r w:rsidR="00857619" w:rsidRPr="00155BBB">
        <w:rPr>
          <w:color w:val="000000" w:themeColor="text1"/>
        </w:rPr>
        <w:t xml:space="preserve"> премията за електрическа енергия, произведена от високоефективно комбинирано производство (чл. 24б от Наредба № 1), разликите между прогнозните стойности и реално отчетените биха могли да доведат до значителни отклонения между одобрените необходими приходи и реално постигнатите резултати на топлофикационните дружества, което от своя страна би могло да застраши, както финансовото им състояние, така и качеството и сигурността на предоставяните услуги. Считаме, че е редно аналогично с предвидените корекции за природен газ и квоти за въглеродни емисии </w:t>
      </w:r>
      <w:r w:rsidR="005A4DBF" w:rsidRPr="00155BBB">
        <w:rPr>
          <w:color w:val="000000" w:themeColor="text1"/>
        </w:rPr>
        <w:t xml:space="preserve">при определянето на цените да бъде включена корекция </w:t>
      </w:r>
      <w:r w:rsidR="00857619" w:rsidRPr="00155BBB">
        <w:rPr>
          <w:color w:val="000000" w:themeColor="text1"/>
        </w:rPr>
        <w:t xml:space="preserve"> </w:t>
      </w:r>
      <w:r w:rsidR="005A4DBF" w:rsidRPr="00155BBB">
        <w:rPr>
          <w:color w:val="000000" w:themeColor="text1"/>
        </w:rPr>
        <w:t>при установяване на разлика от предходния регулаторен/ценови период между прогнозните и отчетените пазарни цени на електрическата енергия.</w:t>
      </w:r>
    </w:p>
    <w:p w14:paraId="5639DFC5" w14:textId="77777777" w:rsidR="00E25505" w:rsidRPr="00DE2A2B" w:rsidRDefault="00E25505" w:rsidP="003565E4">
      <w:pPr>
        <w:ind w:left="709"/>
        <w:rPr>
          <w:color w:val="FF0000"/>
          <w:sz w:val="30"/>
          <w:szCs w:val="30"/>
        </w:rPr>
      </w:pPr>
    </w:p>
    <w:p w14:paraId="381672B3" w14:textId="77777777" w:rsidR="00C65D4B" w:rsidRPr="0057086A" w:rsidRDefault="00C65D4B" w:rsidP="00C65D4B">
      <w:pPr>
        <w:ind w:left="709"/>
        <w:rPr>
          <w:color w:val="000000" w:themeColor="text1"/>
        </w:rPr>
      </w:pPr>
    </w:p>
    <w:p w14:paraId="11455CD7" w14:textId="094228B7" w:rsidR="008A3CA0" w:rsidRPr="0057086A" w:rsidRDefault="007B2215" w:rsidP="00226ECF">
      <w:pPr>
        <w:pStyle w:val="Heading1"/>
        <w:keepLines w:val="0"/>
        <w:numPr>
          <w:ilvl w:val="0"/>
          <w:numId w:val="12"/>
        </w:numPr>
        <w:tabs>
          <w:tab w:val="clear" w:pos="369"/>
        </w:tabs>
        <w:spacing w:before="240" w:after="60" w:line="240" w:lineRule="auto"/>
        <w:rPr>
          <w:color w:val="auto"/>
        </w:rPr>
      </w:pPr>
      <w:r w:rsidRPr="0057086A">
        <w:rPr>
          <w:color w:val="auto"/>
        </w:rPr>
        <w:t>Предложение за тарифна структура на цени в сила от 01.07.202</w:t>
      </w:r>
      <w:r w:rsidR="00CC6023">
        <w:rPr>
          <w:color w:val="auto"/>
          <w:lang w:val="en-US"/>
        </w:rPr>
        <w:t>4</w:t>
      </w:r>
      <w:r w:rsidRPr="0057086A">
        <w:rPr>
          <w:color w:val="auto"/>
        </w:rPr>
        <w:t xml:space="preserve"> г.:</w:t>
      </w:r>
    </w:p>
    <w:p w14:paraId="677C0610" w14:textId="77777777" w:rsidR="008A3CA0" w:rsidRPr="0057086A" w:rsidRDefault="008A3CA0" w:rsidP="008A3CA0">
      <w:pPr>
        <w:spacing w:line="240" w:lineRule="exact"/>
        <w:jc w:val="both"/>
        <w:rPr>
          <w:rFonts w:cs="Arial"/>
          <w:bCs/>
          <w:sz w:val="20"/>
          <w:szCs w:val="20"/>
          <w:lang w:eastAsia="de-DE"/>
        </w:rPr>
      </w:pPr>
    </w:p>
    <w:p w14:paraId="7EF50488" w14:textId="34A6C5E3" w:rsidR="008A3CA0" w:rsidRPr="0057086A" w:rsidRDefault="008A3CA0" w:rsidP="00FD3D42">
      <w:pPr>
        <w:pStyle w:val="ListParagraph"/>
        <w:rPr>
          <w:rFonts w:ascii="Frutiger Next for EVN Light" w:hAnsi="Frutiger Next for EVN Light"/>
          <w:color w:val="000000" w:themeColor="text1"/>
          <w:lang w:val="bg-BG"/>
        </w:rPr>
      </w:pPr>
      <w:r w:rsidRPr="0057086A">
        <w:rPr>
          <w:rFonts w:ascii="Frutiger Next for EVN Light" w:hAnsi="Frutiger Next for EVN Light"/>
          <w:lang w:val="bg-BG"/>
        </w:rPr>
        <w:t xml:space="preserve">При подготовката на заявлението за цени за нов регулаторен период „ЕВН България Топлофикация” ЕАД представя  справки от №1 до №9 </w:t>
      </w:r>
      <w:r w:rsidRPr="00C76FB1">
        <w:rPr>
          <w:rFonts w:ascii="Frutiger Next for EVN Light" w:hAnsi="Frutiger Next for EVN Light"/>
          <w:color w:val="000000" w:themeColor="text1"/>
          <w:lang w:val="bg-BG"/>
        </w:rPr>
        <w:t xml:space="preserve">съгласно Указанията на КЕВР приети с протоколно Решение № 95 от 25.05.2015 г. </w:t>
      </w:r>
      <w:r w:rsidRPr="0057086A">
        <w:rPr>
          <w:rFonts w:ascii="Frutiger Next for EVN Light" w:hAnsi="Frutiger Next for EVN Light"/>
          <w:lang w:val="bg-BG"/>
        </w:rPr>
        <w:t xml:space="preserve">След анализ на така получената прогнозна еднокомпонентна цена на топлинна енергия </w:t>
      </w:r>
      <w:r w:rsidRPr="0057086A">
        <w:rPr>
          <w:rFonts w:ascii="Frutiger Next for EVN Light" w:hAnsi="Frutiger Next for EVN Light"/>
          <w:color w:val="000000" w:themeColor="text1"/>
          <w:lang w:val="bg-BG"/>
        </w:rPr>
        <w:t xml:space="preserve">и преференциална цената на произведената електрическа енергия, предлагаме следните цени: </w:t>
      </w:r>
    </w:p>
    <w:p w14:paraId="7B06DBEF" w14:textId="77777777" w:rsidR="008A3CA0" w:rsidRPr="0057086A" w:rsidRDefault="008A3CA0" w:rsidP="008A3CA0">
      <w:pPr>
        <w:spacing w:line="240" w:lineRule="exact"/>
        <w:jc w:val="both"/>
        <w:rPr>
          <w:rFonts w:cs="Arial"/>
          <w:bCs/>
          <w:color w:val="000000"/>
          <w:sz w:val="20"/>
          <w:szCs w:val="20"/>
          <w:highlight w:val="yellow"/>
          <w:lang w:eastAsia="de-DE"/>
        </w:rPr>
      </w:pPr>
    </w:p>
    <w:p w14:paraId="51304E91" w14:textId="77777777" w:rsidR="008A3CA0" w:rsidRPr="0057086A" w:rsidRDefault="008A3CA0" w:rsidP="008A3CA0">
      <w:pPr>
        <w:spacing w:line="240" w:lineRule="exact"/>
        <w:jc w:val="both"/>
        <w:rPr>
          <w:rFonts w:cs="Arial"/>
          <w:bCs/>
          <w:color w:val="000000"/>
          <w:sz w:val="20"/>
          <w:szCs w:val="20"/>
          <w:highlight w:val="yellow"/>
          <w:lang w:eastAsia="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6"/>
        <w:gridCol w:w="2028"/>
      </w:tblGrid>
      <w:tr w:rsidR="00FD3D42" w:rsidRPr="0057086A" w14:paraId="04E8DCF7" w14:textId="77777777" w:rsidTr="00570902">
        <w:trPr>
          <w:jc w:val="center"/>
        </w:trPr>
        <w:tc>
          <w:tcPr>
            <w:tcW w:w="7366" w:type="dxa"/>
            <w:shd w:val="clear" w:color="auto" w:fill="auto"/>
            <w:vAlign w:val="center"/>
          </w:tcPr>
          <w:p w14:paraId="7A6C628B" w14:textId="77777777" w:rsidR="00FD3D42" w:rsidRPr="0057086A" w:rsidRDefault="00FD3D42" w:rsidP="00570902">
            <w:pPr>
              <w:spacing w:line="240" w:lineRule="exact"/>
              <w:jc w:val="center"/>
              <w:rPr>
                <w:rFonts w:cs="Arial"/>
                <w:b/>
                <w:color w:val="000000"/>
                <w:sz w:val="20"/>
                <w:szCs w:val="20"/>
                <w:lang w:eastAsia="de-DE"/>
              </w:rPr>
            </w:pPr>
            <w:r w:rsidRPr="0057086A">
              <w:rPr>
                <w:rFonts w:cs="Arial"/>
                <w:b/>
                <w:color w:val="000000"/>
                <w:sz w:val="20"/>
                <w:szCs w:val="20"/>
                <w:lang w:eastAsia="de-DE"/>
              </w:rPr>
              <w:t>„ЕВН България Топлофикация” ЕАД</w:t>
            </w:r>
          </w:p>
        </w:tc>
        <w:tc>
          <w:tcPr>
            <w:tcW w:w="2028" w:type="dxa"/>
            <w:shd w:val="clear" w:color="auto" w:fill="auto"/>
            <w:vAlign w:val="center"/>
          </w:tcPr>
          <w:p w14:paraId="2B0D791D" w14:textId="77777777" w:rsidR="00FD3D42" w:rsidRPr="0057086A" w:rsidRDefault="00FD3D42" w:rsidP="00570902">
            <w:pPr>
              <w:spacing w:line="240" w:lineRule="exact"/>
              <w:jc w:val="center"/>
              <w:rPr>
                <w:rFonts w:cs="Arial"/>
                <w:b/>
                <w:color w:val="000000"/>
                <w:sz w:val="20"/>
                <w:szCs w:val="20"/>
                <w:lang w:eastAsia="de-DE"/>
              </w:rPr>
            </w:pPr>
            <w:r w:rsidRPr="0057086A">
              <w:rPr>
                <w:rFonts w:cs="Arial"/>
                <w:b/>
                <w:color w:val="000000"/>
                <w:sz w:val="20"/>
                <w:szCs w:val="20"/>
                <w:lang w:eastAsia="de-DE"/>
              </w:rPr>
              <w:t xml:space="preserve">Лева / МВтч </w:t>
            </w:r>
          </w:p>
          <w:p w14:paraId="3EEC28E0" w14:textId="77777777" w:rsidR="00FD3D42" w:rsidRPr="0057086A" w:rsidRDefault="00FD3D42" w:rsidP="00570902">
            <w:pPr>
              <w:spacing w:line="240" w:lineRule="exact"/>
              <w:jc w:val="center"/>
              <w:rPr>
                <w:rFonts w:cs="Arial"/>
                <w:b/>
                <w:color w:val="000000"/>
                <w:sz w:val="20"/>
                <w:szCs w:val="20"/>
                <w:lang w:eastAsia="de-DE"/>
              </w:rPr>
            </w:pPr>
            <w:r w:rsidRPr="0057086A">
              <w:rPr>
                <w:rFonts w:cs="Arial"/>
                <w:b/>
                <w:color w:val="000000"/>
                <w:sz w:val="20"/>
                <w:szCs w:val="20"/>
                <w:lang w:eastAsia="de-DE"/>
              </w:rPr>
              <w:t xml:space="preserve">без ДДС </w:t>
            </w:r>
          </w:p>
        </w:tc>
      </w:tr>
      <w:tr w:rsidR="00FD3D42" w:rsidRPr="0057086A" w14:paraId="56242302" w14:textId="77777777" w:rsidTr="00570902">
        <w:trPr>
          <w:trHeight w:val="1042"/>
          <w:jc w:val="center"/>
        </w:trPr>
        <w:tc>
          <w:tcPr>
            <w:tcW w:w="7366" w:type="dxa"/>
            <w:shd w:val="clear" w:color="auto" w:fill="auto"/>
            <w:vAlign w:val="center"/>
          </w:tcPr>
          <w:p w14:paraId="74719D0F" w14:textId="77777777" w:rsidR="00FD3D42" w:rsidRPr="0057086A" w:rsidRDefault="00FD3D42" w:rsidP="00570902">
            <w:pPr>
              <w:spacing w:line="240" w:lineRule="exact"/>
              <w:rPr>
                <w:rFonts w:cs="Arial"/>
                <w:b/>
                <w:color w:val="000000"/>
                <w:sz w:val="20"/>
                <w:szCs w:val="20"/>
                <w:lang w:eastAsia="de-DE"/>
              </w:rPr>
            </w:pPr>
            <w:proofErr w:type="spellStart"/>
            <w:r w:rsidRPr="0057086A">
              <w:rPr>
                <w:rFonts w:cs="Arial"/>
                <w:b/>
                <w:color w:val="000000"/>
                <w:sz w:val="20"/>
                <w:szCs w:val="20"/>
                <w:lang w:eastAsia="de-DE"/>
              </w:rPr>
              <w:t>Eднокомпонентна</w:t>
            </w:r>
            <w:proofErr w:type="spellEnd"/>
            <w:r w:rsidRPr="0057086A">
              <w:rPr>
                <w:rFonts w:cs="Arial"/>
                <w:b/>
                <w:color w:val="000000"/>
                <w:sz w:val="20"/>
                <w:szCs w:val="20"/>
                <w:lang w:eastAsia="de-DE"/>
              </w:rPr>
              <w:t xml:space="preserve"> пределна цена на топлинната енергия с топлоносител гореща вода:</w:t>
            </w:r>
          </w:p>
        </w:tc>
        <w:tc>
          <w:tcPr>
            <w:tcW w:w="2028" w:type="dxa"/>
            <w:shd w:val="clear" w:color="auto" w:fill="auto"/>
            <w:vAlign w:val="center"/>
          </w:tcPr>
          <w:p w14:paraId="45A34488" w14:textId="4990923B" w:rsidR="00FD3D42" w:rsidRPr="00590C03" w:rsidRDefault="00590C03" w:rsidP="00570902">
            <w:pPr>
              <w:spacing w:line="240" w:lineRule="exact"/>
              <w:ind w:left="2124" w:hanging="2124"/>
              <w:jc w:val="center"/>
              <w:rPr>
                <w:rFonts w:cs="Arial"/>
                <w:b/>
                <w:color w:val="000000"/>
                <w:sz w:val="20"/>
                <w:szCs w:val="20"/>
                <w:lang w:val="en-US" w:eastAsia="de-DE"/>
              </w:rPr>
            </w:pPr>
            <w:proofErr w:type="spellStart"/>
            <w:proofErr w:type="gramStart"/>
            <w:r>
              <w:rPr>
                <w:rFonts w:cs="Arial"/>
                <w:b/>
                <w:color w:val="000000"/>
                <w:sz w:val="20"/>
                <w:szCs w:val="20"/>
                <w:lang w:val="en-US" w:eastAsia="de-DE"/>
              </w:rPr>
              <w:t>xxx,xx</w:t>
            </w:r>
            <w:proofErr w:type="spellEnd"/>
            <w:proofErr w:type="gramEnd"/>
          </w:p>
          <w:p w14:paraId="2388E774" w14:textId="77777777" w:rsidR="00FD3D42" w:rsidRPr="0057086A" w:rsidRDefault="00FD3D42" w:rsidP="00570902">
            <w:pPr>
              <w:spacing w:line="240" w:lineRule="exact"/>
              <w:jc w:val="center"/>
              <w:rPr>
                <w:rFonts w:cs="Arial"/>
                <w:b/>
                <w:color w:val="000000"/>
                <w:sz w:val="20"/>
                <w:szCs w:val="20"/>
                <w:lang w:eastAsia="de-DE"/>
              </w:rPr>
            </w:pPr>
          </w:p>
        </w:tc>
      </w:tr>
      <w:tr w:rsidR="00FD3D42" w:rsidRPr="0057086A" w14:paraId="796A7BC1" w14:textId="77777777" w:rsidTr="00570902">
        <w:trPr>
          <w:trHeight w:val="844"/>
          <w:jc w:val="center"/>
        </w:trPr>
        <w:tc>
          <w:tcPr>
            <w:tcW w:w="7366" w:type="dxa"/>
            <w:shd w:val="clear" w:color="auto" w:fill="auto"/>
            <w:vAlign w:val="center"/>
          </w:tcPr>
          <w:p w14:paraId="435FE3B6" w14:textId="77777777" w:rsidR="00FD3D42" w:rsidRPr="0057086A" w:rsidRDefault="00FD3D42" w:rsidP="00570902">
            <w:pPr>
              <w:spacing w:line="240" w:lineRule="exact"/>
              <w:rPr>
                <w:rFonts w:cs="Arial"/>
                <w:bCs/>
                <w:color w:val="000000"/>
                <w:sz w:val="20"/>
                <w:szCs w:val="20"/>
                <w:lang w:eastAsia="de-DE"/>
              </w:rPr>
            </w:pPr>
            <w:r w:rsidRPr="0057086A">
              <w:rPr>
                <w:rFonts w:cs="Arial"/>
                <w:bCs/>
                <w:color w:val="000000"/>
                <w:sz w:val="20"/>
                <w:szCs w:val="20"/>
                <w:lang w:eastAsia="de-DE"/>
              </w:rPr>
              <w:t>За доставчици по чл. 149а от ЗЕ и за асоциации по чл.151, ал.1 от ЗЕ отстъпката е 1 лев / МВтч без ДДС, като цена на топлинната енергия с топлоносител гореща вода е:</w:t>
            </w:r>
          </w:p>
        </w:tc>
        <w:tc>
          <w:tcPr>
            <w:tcW w:w="2028" w:type="dxa"/>
            <w:shd w:val="clear" w:color="auto" w:fill="auto"/>
            <w:vAlign w:val="center"/>
          </w:tcPr>
          <w:p w14:paraId="50AF8ABE" w14:textId="5F72EAD2" w:rsidR="00FD3D42" w:rsidRPr="00590C03" w:rsidRDefault="00590C03" w:rsidP="00F62A11">
            <w:pPr>
              <w:spacing w:line="240" w:lineRule="exact"/>
              <w:jc w:val="center"/>
              <w:rPr>
                <w:rFonts w:cs="Arial"/>
                <w:b/>
                <w:color w:val="000000"/>
                <w:sz w:val="20"/>
                <w:szCs w:val="20"/>
                <w:lang w:val="en-US" w:eastAsia="de-DE"/>
              </w:rPr>
            </w:pPr>
            <w:proofErr w:type="spellStart"/>
            <w:proofErr w:type="gramStart"/>
            <w:r>
              <w:rPr>
                <w:rFonts w:cs="Arial"/>
                <w:b/>
                <w:color w:val="000000"/>
                <w:sz w:val="20"/>
                <w:szCs w:val="20"/>
                <w:lang w:val="en-US" w:eastAsia="de-DE"/>
              </w:rPr>
              <w:t>xxx,xx</w:t>
            </w:r>
            <w:proofErr w:type="spellEnd"/>
            <w:proofErr w:type="gramEnd"/>
          </w:p>
        </w:tc>
      </w:tr>
      <w:tr w:rsidR="00FD3D42" w:rsidRPr="00E3769C" w14:paraId="3E27BE50" w14:textId="77777777" w:rsidTr="00570902">
        <w:trPr>
          <w:trHeight w:val="793"/>
          <w:jc w:val="center"/>
        </w:trPr>
        <w:tc>
          <w:tcPr>
            <w:tcW w:w="7366" w:type="dxa"/>
            <w:shd w:val="clear" w:color="auto" w:fill="auto"/>
            <w:vAlign w:val="center"/>
          </w:tcPr>
          <w:p w14:paraId="051A8810" w14:textId="77777777" w:rsidR="00FD3D42" w:rsidRPr="0057086A" w:rsidRDefault="00FD3D42" w:rsidP="00570902">
            <w:pPr>
              <w:spacing w:line="240" w:lineRule="exact"/>
              <w:rPr>
                <w:rFonts w:cs="Arial"/>
                <w:b/>
                <w:color w:val="000000"/>
                <w:sz w:val="20"/>
                <w:szCs w:val="20"/>
                <w:lang w:eastAsia="de-DE"/>
              </w:rPr>
            </w:pPr>
            <w:r w:rsidRPr="0057086A">
              <w:rPr>
                <w:rFonts w:cs="Arial"/>
                <w:b/>
                <w:color w:val="000000"/>
                <w:sz w:val="20"/>
                <w:szCs w:val="20"/>
                <w:lang w:eastAsia="de-DE"/>
              </w:rPr>
              <w:t>Преференциална цена на електрическата енергия произведена по комбиниран начин:</w:t>
            </w:r>
          </w:p>
        </w:tc>
        <w:tc>
          <w:tcPr>
            <w:tcW w:w="2028" w:type="dxa"/>
            <w:shd w:val="clear" w:color="auto" w:fill="auto"/>
            <w:vAlign w:val="center"/>
          </w:tcPr>
          <w:p w14:paraId="65E2857B" w14:textId="453B775A" w:rsidR="00FD3D42" w:rsidRPr="003253D9" w:rsidRDefault="00590C03" w:rsidP="00F62A11">
            <w:pPr>
              <w:spacing w:line="240" w:lineRule="exact"/>
              <w:jc w:val="center"/>
              <w:rPr>
                <w:rFonts w:cs="Arial"/>
                <w:b/>
                <w:color w:val="000000"/>
                <w:sz w:val="20"/>
                <w:szCs w:val="20"/>
                <w:lang w:val="en-US" w:eastAsia="de-DE"/>
              </w:rPr>
            </w:pPr>
            <w:proofErr w:type="spellStart"/>
            <w:proofErr w:type="gramStart"/>
            <w:r>
              <w:rPr>
                <w:rFonts w:cs="Arial"/>
                <w:b/>
                <w:color w:val="000000"/>
                <w:sz w:val="20"/>
                <w:szCs w:val="20"/>
                <w:lang w:val="en-US" w:eastAsia="de-DE"/>
              </w:rPr>
              <w:t>xxx,xx</w:t>
            </w:r>
            <w:proofErr w:type="spellEnd"/>
            <w:proofErr w:type="gramEnd"/>
          </w:p>
        </w:tc>
      </w:tr>
    </w:tbl>
    <w:p w14:paraId="3991027A" w14:textId="77777777" w:rsidR="009242AD" w:rsidRPr="0057086A" w:rsidRDefault="009242AD" w:rsidP="009242AD">
      <w:pPr>
        <w:ind w:left="709"/>
        <w:rPr>
          <w:b/>
          <w:u w:val="double"/>
        </w:rPr>
      </w:pPr>
    </w:p>
    <w:p w14:paraId="0B18E634" w14:textId="77777777" w:rsidR="009242AD" w:rsidRPr="0057086A" w:rsidRDefault="009242AD" w:rsidP="009242AD">
      <w:pPr>
        <w:ind w:left="709"/>
        <w:rPr>
          <w:b/>
          <w:u w:val="double"/>
        </w:rPr>
      </w:pPr>
    </w:p>
    <w:p w14:paraId="63D32003" w14:textId="77777777" w:rsidR="00FD3D42" w:rsidRPr="00853376" w:rsidRDefault="00FD3D42" w:rsidP="00FD3D42">
      <w:pPr>
        <w:pStyle w:val="ListParagraph"/>
        <w:rPr>
          <w:rFonts w:ascii="Frutiger Next for EVN Light" w:hAnsi="Frutiger Next for EVN Light"/>
          <w:color w:val="000000" w:themeColor="text1"/>
          <w:lang w:val="en-US"/>
        </w:rPr>
      </w:pPr>
      <w:r w:rsidRPr="0057086A">
        <w:rPr>
          <w:rFonts w:ascii="Frutiger Next for EVN Light" w:hAnsi="Frutiger Next for EVN Light"/>
          <w:color w:val="000000" w:themeColor="text1"/>
          <w:lang w:val="bg-BG"/>
        </w:rPr>
        <w:t>Разпоредбата на чл.31 от ЗЕ ни насочва, че при изпълнение на процедурите по ценово регулиране цените на енергийните предприятия трябва да възстановяват икономически обоснованите разходи за дейността им и да осигуряват обоснована норма на възвръщаемост на капитала. Предвид икономическата ситуация в страната и основните цели пред дружеството за запазване на клиентите и сигурността на топлоснабдяването чрез оптимизиране на разходите, дружеството ще работи за развитие на клиентско-ориентирана тарифна структура при еднокомпонентна цена на топлинната енергия.</w:t>
      </w:r>
    </w:p>
    <w:p w14:paraId="357FF65F" w14:textId="77777777" w:rsidR="00FD3D42" w:rsidRPr="0057086A" w:rsidRDefault="00FD3D42" w:rsidP="00FD3D42">
      <w:pPr>
        <w:spacing w:line="240" w:lineRule="exact"/>
        <w:rPr>
          <w:rFonts w:cs="Arial"/>
          <w:color w:val="000000"/>
          <w:sz w:val="20"/>
          <w:szCs w:val="20"/>
          <w:lang w:eastAsia="de-DE"/>
        </w:rPr>
      </w:pPr>
    </w:p>
    <w:p w14:paraId="15668B93" w14:textId="77777777" w:rsidR="009242AD" w:rsidRPr="0057086A" w:rsidRDefault="009242AD" w:rsidP="009242AD">
      <w:pPr>
        <w:ind w:left="709"/>
        <w:rPr>
          <w:b/>
          <w:u w:val="double"/>
        </w:rPr>
      </w:pPr>
    </w:p>
    <w:p w14:paraId="1A05469E" w14:textId="77777777" w:rsidR="009242AD" w:rsidRPr="0057086A" w:rsidRDefault="009242AD" w:rsidP="009242AD">
      <w:pPr>
        <w:ind w:left="709"/>
        <w:rPr>
          <w:b/>
          <w:u w:val="double"/>
        </w:rPr>
      </w:pPr>
    </w:p>
    <w:p w14:paraId="6FBDAB46" w14:textId="77777777" w:rsidR="002B2C95" w:rsidRPr="0057086A" w:rsidRDefault="002B2C95" w:rsidP="002B2C95">
      <w:pPr>
        <w:jc w:val="both"/>
        <w:rPr>
          <w:rFonts w:cs="Arial"/>
          <w:b/>
          <w:bCs/>
          <w:sz w:val="20"/>
          <w:szCs w:val="20"/>
        </w:rPr>
      </w:pPr>
      <w:r w:rsidRPr="0057086A">
        <w:rPr>
          <w:rFonts w:cs="Arial"/>
          <w:b/>
          <w:bCs/>
          <w:sz w:val="20"/>
          <w:szCs w:val="20"/>
        </w:rPr>
        <w:t>„ЕВН България Топлофикация” ЕАД</w:t>
      </w:r>
    </w:p>
    <w:p w14:paraId="6E4B6CF2" w14:textId="7ED7B41D" w:rsidR="009242AD" w:rsidRPr="0057086A" w:rsidRDefault="009242AD" w:rsidP="009242AD">
      <w:pPr>
        <w:tabs>
          <w:tab w:val="left" w:pos="0"/>
        </w:tabs>
        <w:spacing w:line="260" w:lineRule="exact"/>
        <w:ind w:right="-1"/>
        <w:rPr>
          <w:lang w:val="en-US"/>
        </w:rPr>
      </w:pPr>
    </w:p>
    <w:p w14:paraId="38195306" w14:textId="77777777" w:rsidR="0019084E" w:rsidRPr="0057086A" w:rsidRDefault="0019084E" w:rsidP="0019084E">
      <w:pPr>
        <w:tabs>
          <w:tab w:val="left" w:pos="0"/>
        </w:tabs>
        <w:spacing w:line="260" w:lineRule="exact"/>
        <w:ind w:right="-1"/>
      </w:pPr>
      <w:r w:rsidRPr="0057086A">
        <w:t xml:space="preserve">Изготвил Петко </w:t>
      </w:r>
      <w:proofErr w:type="spellStart"/>
      <w:r w:rsidRPr="0057086A">
        <w:t>Бахчеджиев</w:t>
      </w:r>
      <w:proofErr w:type="spellEnd"/>
    </w:p>
    <w:p w14:paraId="3425B997" w14:textId="1A622915" w:rsidR="00B07E11" w:rsidRPr="0057086A" w:rsidRDefault="0019084E" w:rsidP="009242AD">
      <w:pPr>
        <w:tabs>
          <w:tab w:val="left" w:pos="0"/>
        </w:tabs>
        <w:spacing w:line="260" w:lineRule="exact"/>
        <w:ind w:right="-1"/>
      </w:pPr>
      <w:r w:rsidRPr="0057086A">
        <w:t>Отдел "</w:t>
      </w:r>
      <w:proofErr w:type="spellStart"/>
      <w:r w:rsidRPr="0057086A">
        <w:t>Контролинг</w:t>
      </w:r>
      <w:proofErr w:type="spellEnd"/>
      <w:r w:rsidRPr="0057086A">
        <w:t xml:space="preserve"> и </w:t>
      </w:r>
      <w:proofErr w:type="spellStart"/>
      <w:r w:rsidRPr="0057086A">
        <w:t>Трежъри</w:t>
      </w:r>
      <w:proofErr w:type="spellEnd"/>
      <w:r w:rsidRPr="0057086A">
        <w:t>"</w:t>
      </w:r>
    </w:p>
    <w:p w14:paraId="5B7ABBE4" w14:textId="1B6B0A4F" w:rsidR="00B07E11" w:rsidRPr="0057086A" w:rsidRDefault="00B07E11" w:rsidP="009242AD">
      <w:pPr>
        <w:tabs>
          <w:tab w:val="left" w:pos="0"/>
        </w:tabs>
        <w:spacing w:line="260" w:lineRule="exact"/>
        <w:ind w:right="-1"/>
      </w:pPr>
    </w:p>
    <w:p w14:paraId="2564ADE7" w14:textId="77777777" w:rsidR="00023556" w:rsidRPr="0057086A" w:rsidRDefault="00023556" w:rsidP="009242AD">
      <w:pPr>
        <w:tabs>
          <w:tab w:val="left" w:pos="0"/>
        </w:tabs>
        <w:spacing w:line="260" w:lineRule="exact"/>
        <w:ind w:right="-1"/>
      </w:pPr>
    </w:p>
    <w:p w14:paraId="38362A3B" w14:textId="44D04C78" w:rsidR="00016B14" w:rsidRPr="0057086A" w:rsidRDefault="0085423D" w:rsidP="002B2C95">
      <w:pPr>
        <w:jc w:val="both"/>
        <w:rPr>
          <w:rFonts w:cs="Arial"/>
          <w:bCs/>
          <w:color w:val="0D0D0D" w:themeColor="text1" w:themeTint="F2"/>
          <w:sz w:val="20"/>
          <w:szCs w:val="20"/>
        </w:rPr>
      </w:pPr>
      <w:r w:rsidRPr="0057086A">
        <w:rPr>
          <w:rFonts w:cs="Arial"/>
          <w:bCs/>
          <w:color w:val="0D0D0D" w:themeColor="text1" w:themeTint="F2"/>
          <w:sz w:val="20"/>
          <w:szCs w:val="20"/>
        </w:rPr>
        <w:t xml:space="preserve">Доминик </w:t>
      </w:r>
      <w:proofErr w:type="spellStart"/>
      <w:r w:rsidRPr="0057086A">
        <w:rPr>
          <w:rFonts w:cs="Arial"/>
          <w:bCs/>
          <w:color w:val="0D0D0D" w:themeColor="text1" w:themeTint="F2"/>
          <w:sz w:val="20"/>
          <w:szCs w:val="20"/>
        </w:rPr>
        <w:t>Ярмер</w:t>
      </w:r>
      <w:proofErr w:type="spellEnd"/>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r w:rsidR="00853376" w:rsidRPr="00853376">
        <w:rPr>
          <w:rFonts w:cs="Arial"/>
          <w:bCs/>
          <w:color w:val="0D0D0D" w:themeColor="text1" w:themeTint="F2"/>
          <w:sz w:val="20"/>
          <w:szCs w:val="20"/>
        </w:rPr>
        <w:t>Жанет Стойчева</w:t>
      </w:r>
    </w:p>
    <w:p w14:paraId="1F09DEA4" w14:textId="344B1EFD" w:rsidR="00016B14" w:rsidRPr="0057086A" w:rsidRDefault="0085423D" w:rsidP="00016B14">
      <w:pPr>
        <w:rPr>
          <w:bCs/>
          <w:color w:val="0D0D0D" w:themeColor="text1" w:themeTint="F2"/>
        </w:rPr>
      </w:pPr>
      <w:r w:rsidRPr="0057086A">
        <w:rPr>
          <w:rFonts w:cs="Arial"/>
          <w:bCs/>
          <w:color w:val="0D0D0D" w:themeColor="text1" w:themeTint="F2"/>
          <w:sz w:val="20"/>
          <w:szCs w:val="20"/>
        </w:rPr>
        <w:t>Председател</w:t>
      </w:r>
      <w:r w:rsidR="002B2C95" w:rsidRPr="0057086A">
        <w:rPr>
          <w:rFonts w:cs="Arial"/>
          <w:bCs/>
          <w:color w:val="0D0D0D" w:themeColor="text1" w:themeTint="F2"/>
          <w:sz w:val="20"/>
          <w:szCs w:val="20"/>
        </w:rPr>
        <w:t xml:space="preserve"> на СД</w:t>
      </w:r>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r w:rsidR="00853376" w:rsidRPr="00853376">
        <w:rPr>
          <w:bCs/>
          <w:color w:val="0D0D0D" w:themeColor="text1" w:themeTint="F2"/>
        </w:rPr>
        <w:t>Заместник-председател на СД</w:t>
      </w:r>
    </w:p>
    <w:p w14:paraId="6D5518BD" w14:textId="77777777" w:rsidR="00016B14" w:rsidRPr="0057086A" w:rsidRDefault="00016B14" w:rsidP="009242AD">
      <w:pPr>
        <w:tabs>
          <w:tab w:val="left" w:pos="0"/>
        </w:tabs>
        <w:spacing w:line="260" w:lineRule="exact"/>
        <w:ind w:right="-1"/>
        <w:rPr>
          <w:color w:val="0D0D0D" w:themeColor="text1" w:themeTint="F2"/>
        </w:rPr>
      </w:pPr>
    </w:p>
    <w:p w14:paraId="28DFABC4" w14:textId="77777777" w:rsidR="00016B14" w:rsidRPr="0057086A" w:rsidRDefault="00016B14" w:rsidP="009242AD">
      <w:pPr>
        <w:tabs>
          <w:tab w:val="left" w:pos="0"/>
        </w:tabs>
        <w:spacing w:line="260" w:lineRule="exact"/>
        <w:ind w:right="-1"/>
      </w:pPr>
    </w:p>
    <w:p w14:paraId="71BBD131" w14:textId="6E615C0A" w:rsidR="009242AD" w:rsidRPr="0057086A" w:rsidRDefault="002B2C95" w:rsidP="009242AD">
      <w:pPr>
        <w:tabs>
          <w:tab w:val="left" w:pos="0"/>
        </w:tabs>
        <w:spacing w:line="260" w:lineRule="exact"/>
        <w:ind w:right="-1"/>
      </w:pPr>
      <w:r w:rsidRPr="0057086A">
        <w:t>Дата: 2</w:t>
      </w:r>
      <w:r w:rsidR="008758AB">
        <w:t>8</w:t>
      </w:r>
      <w:r w:rsidRPr="0057086A">
        <w:t>.03.202</w:t>
      </w:r>
      <w:r w:rsidR="008758AB">
        <w:t>4</w:t>
      </w:r>
      <w:r w:rsidR="009242AD" w:rsidRPr="0057086A">
        <w:t>г.</w:t>
      </w:r>
    </w:p>
    <w:p w14:paraId="7A52E219" w14:textId="7FF4EBC1" w:rsidR="00F651AF" w:rsidRPr="0057086A" w:rsidRDefault="00F651AF" w:rsidP="0035082F">
      <w:pPr>
        <w:rPr>
          <w:lang w:val="en-US"/>
        </w:rPr>
      </w:pPr>
    </w:p>
    <w:sectPr w:rsidR="00F651AF" w:rsidRPr="0057086A" w:rsidSect="0035082F">
      <w:headerReference w:type="default" r:id="rId36"/>
      <w:footerReference w:type="default" r:id="rId37"/>
      <w:headerReference w:type="first" r:id="rId38"/>
      <w:footerReference w:type="first" r:id="rId39"/>
      <w:pgSz w:w="11906" w:h="16838"/>
      <w:pgMar w:top="1134" w:right="1134" w:bottom="567" w:left="1134" w:header="284"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78062" w14:textId="77777777" w:rsidR="00307C53" w:rsidRDefault="00307C53" w:rsidP="00A97898">
      <w:r>
        <w:separator/>
      </w:r>
    </w:p>
  </w:endnote>
  <w:endnote w:type="continuationSeparator" w:id="0">
    <w:p w14:paraId="4D178063" w14:textId="77777777" w:rsidR="00307C53" w:rsidRDefault="00307C53" w:rsidP="00A97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Next for EVN Light">
    <w:altName w:val="Corbel Light"/>
    <w:panose1 w:val="020B0303040204020203"/>
    <w:charset w:val="00"/>
    <w:family w:val="swiss"/>
    <w:notTrueType/>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libri-Ligh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32A7D" w14:textId="3A90ED3A" w:rsidR="00307C53" w:rsidRPr="00F651AF" w:rsidRDefault="00307C53" w:rsidP="00E629A9">
    <w:pPr>
      <w:pStyle w:val="Footer"/>
      <w:jc w:val="right"/>
      <w:rPr>
        <w:sz w:val="14"/>
        <w:szCs w:val="14"/>
        <w:lang w:val="en-US"/>
      </w:rPr>
    </w:pPr>
    <w:r w:rsidRPr="00F651AF">
      <w:rPr>
        <w:sz w:val="14"/>
        <w:szCs w:val="14"/>
        <w:lang w:val="en-US"/>
      </w:rPr>
      <w:fldChar w:fldCharType="begin"/>
    </w:r>
    <w:r w:rsidRPr="00F651AF">
      <w:rPr>
        <w:sz w:val="14"/>
        <w:szCs w:val="14"/>
        <w:lang w:val="en-US"/>
      </w:rPr>
      <w:instrText xml:space="preserve"> PAGE   \* MERGEFORMAT </w:instrText>
    </w:r>
    <w:r w:rsidRPr="00F651AF">
      <w:rPr>
        <w:sz w:val="14"/>
        <w:szCs w:val="14"/>
        <w:lang w:val="en-US"/>
      </w:rPr>
      <w:fldChar w:fldCharType="separate"/>
    </w:r>
    <w:r w:rsidR="000A359E">
      <w:rPr>
        <w:noProof/>
        <w:sz w:val="14"/>
        <w:szCs w:val="14"/>
        <w:lang w:val="en-US"/>
      </w:rPr>
      <w:t>29</w:t>
    </w:r>
    <w:r w:rsidRPr="00F651AF">
      <w:rPr>
        <w:sz w:val="14"/>
        <w:szCs w:val="14"/>
        <w:lang w:val="en-US"/>
      </w:rPr>
      <w:fldChar w:fldCharType="end"/>
    </w:r>
    <w:r w:rsidRPr="00F651AF">
      <w:rPr>
        <w:sz w:val="14"/>
        <w:szCs w:val="14"/>
        <w:lang w:val="en-US"/>
      </w:rPr>
      <w:t>/</w:t>
    </w:r>
    <w:r w:rsidRPr="00F651AF">
      <w:rPr>
        <w:sz w:val="14"/>
        <w:szCs w:val="14"/>
        <w:lang w:val="en-US"/>
      </w:rPr>
      <w:fldChar w:fldCharType="begin"/>
    </w:r>
    <w:r w:rsidRPr="00F651AF">
      <w:rPr>
        <w:sz w:val="14"/>
        <w:szCs w:val="14"/>
        <w:lang w:val="en-US"/>
      </w:rPr>
      <w:instrText xml:space="preserve"> NUMPAGES   \* MERGEFORMAT </w:instrText>
    </w:r>
    <w:r w:rsidRPr="00F651AF">
      <w:rPr>
        <w:sz w:val="14"/>
        <w:szCs w:val="14"/>
        <w:lang w:val="en-US"/>
      </w:rPr>
      <w:fldChar w:fldCharType="separate"/>
    </w:r>
    <w:r w:rsidR="000A359E">
      <w:rPr>
        <w:noProof/>
        <w:sz w:val="14"/>
        <w:szCs w:val="14"/>
        <w:lang w:val="en-US"/>
      </w:rPr>
      <w:t>30</w:t>
    </w:r>
    <w:r w:rsidRPr="00F651AF">
      <w:rPr>
        <w:sz w:val="14"/>
        <w:szCs w:val="14"/>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A19F2" w14:textId="77777777" w:rsidR="00307C53" w:rsidRPr="008A7091" w:rsidRDefault="00307C53" w:rsidP="008A7091">
    <w:pPr>
      <w:tabs>
        <w:tab w:val="left" w:pos="2257"/>
        <w:tab w:val="left" w:pos="4508"/>
        <w:tab w:val="left" w:pos="6804"/>
      </w:tabs>
      <w:spacing w:line="180" w:lineRule="exact"/>
      <w:ind w:right="-1"/>
      <w:rPr>
        <w:rFonts w:eastAsia="Times New Roman"/>
        <w:spacing w:val="2"/>
        <w:sz w:val="14"/>
        <w:szCs w:val="14"/>
      </w:rPr>
    </w:pPr>
    <w:r w:rsidRPr="008A7091">
      <w:rPr>
        <w:rFonts w:eastAsia="Times New Roman"/>
        <w:b/>
        <w:spacing w:val="2"/>
        <w:sz w:val="14"/>
        <w:szCs w:val="14"/>
        <w:lang w:val="en-US"/>
      </w:rPr>
      <w:t>EVN Bulgaria</w:t>
    </w:r>
    <w:r w:rsidRPr="008A7091">
      <w:rPr>
        <w:rFonts w:eastAsia="Times New Roman"/>
        <w:spacing w:val="2"/>
        <w:sz w:val="14"/>
        <w:szCs w:val="14"/>
      </w:rPr>
      <w:tab/>
    </w:r>
    <w:r w:rsidRPr="008A7091">
      <w:rPr>
        <w:rFonts w:eastAsia="Times New Roman" w:hint="eastAsia"/>
        <w:spacing w:val="2"/>
        <w:sz w:val="14"/>
        <w:szCs w:val="14"/>
      </w:rPr>
      <w:t>Т</w:t>
    </w:r>
    <w:r w:rsidRPr="008A7091">
      <w:rPr>
        <w:rFonts w:eastAsia="Times New Roman"/>
        <w:spacing w:val="2"/>
        <w:sz w:val="14"/>
        <w:szCs w:val="14"/>
      </w:rPr>
      <w:t xml:space="preserve"> +359 700 1 </w:t>
    </w:r>
    <w:r w:rsidRPr="008A7091">
      <w:rPr>
        <w:rFonts w:eastAsia="Times New Roman"/>
        <w:spacing w:val="2"/>
        <w:sz w:val="14"/>
        <w:szCs w:val="14"/>
        <w:lang w:val="en-US"/>
      </w:rPr>
      <w:t>7898</w:t>
    </w:r>
    <w:r w:rsidRPr="008A7091">
      <w:rPr>
        <w:rFonts w:eastAsia="Times New Roman"/>
        <w:spacing w:val="2"/>
        <w:sz w:val="14"/>
        <w:szCs w:val="14"/>
        <w:lang w:val="en-US"/>
      </w:rPr>
      <w:tab/>
      <w:t xml:space="preserve">Hristo </w:t>
    </w:r>
    <w:proofErr w:type="spellStart"/>
    <w:r w:rsidRPr="008A7091">
      <w:rPr>
        <w:rFonts w:eastAsia="Times New Roman"/>
        <w:spacing w:val="2"/>
        <w:sz w:val="14"/>
        <w:szCs w:val="14"/>
        <w:lang w:val="en-US"/>
      </w:rPr>
      <w:t>G.Danov</w:t>
    </w:r>
    <w:proofErr w:type="spellEnd"/>
    <w:r w:rsidRPr="008A7091">
      <w:rPr>
        <w:rFonts w:eastAsia="Times New Roman"/>
        <w:spacing w:val="2"/>
        <w:sz w:val="14"/>
        <w:szCs w:val="14"/>
        <w:lang w:val="en-US"/>
      </w:rPr>
      <w:t xml:space="preserve"> Str.</w:t>
    </w:r>
    <w:r w:rsidRPr="008A7091">
      <w:rPr>
        <w:rFonts w:eastAsia="Times New Roman"/>
        <w:spacing w:val="2"/>
        <w:sz w:val="14"/>
        <w:szCs w:val="14"/>
      </w:rPr>
      <w:t>37</w:t>
    </w:r>
    <w:r w:rsidRPr="008A7091">
      <w:rPr>
        <w:rFonts w:eastAsia="Times New Roman"/>
        <w:spacing w:val="2"/>
        <w:sz w:val="14"/>
        <w:szCs w:val="14"/>
      </w:rPr>
      <w:tab/>
    </w:r>
    <w:r w:rsidRPr="008A7091">
      <w:rPr>
        <w:rFonts w:eastAsia="Times New Roman"/>
        <w:spacing w:val="2"/>
        <w:sz w:val="14"/>
        <w:szCs w:val="14"/>
      </w:rPr>
      <w:tab/>
    </w:r>
    <w:r w:rsidRPr="008A7091">
      <w:rPr>
        <w:rFonts w:eastAsia="Times New Roman"/>
        <w:sz w:val="14"/>
        <w:szCs w:val="14"/>
        <w:lang w:val="en-US"/>
      </w:rPr>
      <w:t>info</w:t>
    </w:r>
    <w:r w:rsidRPr="008A7091">
      <w:rPr>
        <w:rFonts w:eastAsia="Times New Roman"/>
        <w:sz w:val="14"/>
        <w:szCs w:val="14"/>
      </w:rPr>
      <w:t>@</w:t>
    </w:r>
    <w:proofErr w:type="spellStart"/>
    <w:r w:rsidRPr="008A7091">
      <w:rPr>
        <w:rFonts w:eastAsia="Times New Roman"/>
        <w:sz w:val="14"/>
        <w:szCs w:val="14"/>
        <w:lang w:val="en-US"/>
      </w:rPr>
      <w:t>evn</w:t>
    </w:r>
    <w:proofErr w:type="spellEnd"/>
    <w:r w:rsidRPr="008A7091">
      <w:rPr>
        <w:rFonts w:eastAsia="Times New Roman"/>
        <w:sz w:val="14"/>
        <w:szCs w:val="14"/>
      </w:rPr>
      <w:t>.</w:t>
    </w:r>
    <w:proofErr w:type="spellStart"/>
    <w:r w:rsidRPr="008A7091">
      <w:rPr>
        <w:rFonts w:eastAsia="Times New Roman"/>
        <w:sz w:val="14"/>
        <w:szCs w:val="14"/>
        <w:lang w:val="en-US"/>
      </w:rPr>
      <w:t>bg</w:t>
    </w:r>
    <w:proofErr w:type="spellEnd"/>
  </w:p>
  <w:p w14:paraId="65237D2E" w14:textId="2052632E" w:rsidR="00307C53" w:rsidRPr="008A7091" w:rsidRDefault="00307C53" w:rsidP="008A7091">
    <w:pPr>
      <w:tabs>
        <w:tab w:val="left" w:pos="2257"/>
        <w:tab w:val="left" w:pos="4508"/>
        <w:tab w:val="left" w:pos="6804"/>
      </w:tabs>
      <w:spacing w:line="180" w:lineRule="exact"/>
      <w:ind w:right="-1"/>
      <w:rPr>
        <w:rFonts w:eastAsia="Times New Roman"/>
        <w:spacing w:val="2"/>
        <w:sz w:val="14"/>
        <w:szCs w:val="14"/>
      </w:rPr>
    </w:pPr>
    <w:proofErr w:type="spellStart"/>
    <w:r w:rsidRPr="008A7091">
      <w:rPr>
        <w:rFonts w:eastAsia="Times New Roman"/>
        <w:b/>
        <w:spacing w:val="2"/>
        <w:sz w:val="14"/>
        <w:szCs w:val="14"/>
        <w:lang w:val="en-US"/>
      </w:rPr>
      <w:t>Toplofikatsia</w:t>
    </w:r>
    <w:proofErr w:type="spellEnd"/>
    <w:r w:rsidRPr="008A7091">
      <w:rPr>
        <w:rFonts w:eastAsia="Times New Roman"/>
        <w:b/>
        <w:spacing w:val="2"/>
        <w:sz w:val="14"/>
        <w:szCs w:val="14"/>
      </w:rPr>
      <w:t xml:space="preserve"> </w:t>
    </w:r>
    <w:r w:rsidRPr="008A7091">
      <w:rPr>
        <w:rFonts w:eastAsia="Times New Roman"/>
        <w:b/>
        <w:spacing w:val="2"/>
        <w:sz w:val="14"/>
        <w:szCs w:val="14"/>
        <w:lang w:val="en-US"/>
      </w:rPr>
      <w:t>EAD</w:t>
    </w:r>
    <w:r w:rsidRPr="008A7091">
      <w:rPr>
        <w:rFonts w:eastAsia="Times New Roman"/>
        <w:spacing w:val="2"/>
        <w:sz w:val="14"/>
        <w:szCs w:val="14"/>
      </w:rPr>
      <w:tab/>
      <w:t>UIC 115016602</w:t>
    </w:r>
    <w:r w:rsidRPr="008A7091">
      <w:rPr>
        <w:rFonts w:eastAsia="Times New Roman"/>
        <w:spacing w:val="2"/>
        <w:sz w:val="14"/>
        <w:szCs w:val="14"/>
      </w:rPr>
      <w:tab/>
      <w:t xml:space="preserve">4000 </w:t>
    </w:r>
    <w:r w:rsidRPr="008A7091">
      <w:rPr>
        <w:rFonts w:eastAsia="Times New Roman"/>
        <w:spacing w:val="2"/>
        <w:sz w:val="14"/>
        <w:szCs w:val="14"/>
        <w:lang w:val="en-US"/>
      </w:rPr>
      <w:t>Plovdiv</w:t>
    </w:r>
    <w:r w:rsidRPr="008A7091">
      <w:rPr>
        <w:rFonts w:eastAsia="Times New Roman"/>
        <w:spacing w:val="2"/>
        <w:sz w:val="14"/>
        <w:szCs w:val="14"/>
      </w:rPr>
      <w:t xml:space="preserve">, </w:t>
    </w:r>
    <w:r w:rsidRPr="008A7091">
      <w:rPr>
        <w:rFonts w:eastAsia="Times New Roman"/>
        <w:spacing w:val="2"/>
        <w:sz w:val="14"/>
        <w:szCs w:val="14"/>
        <w:lang w:val="en-US"/>
      </w:rPr>
      <w:t>Bulgaria</w:t>
    </w:r>
    <w:r w:rsidRPr="008A7091">
      <w:rPr>
        <w:rFonts w:eastAsia="Times New Roman"/>
        <w:spacing w:val="2"/>
        <w:sz w:val="14"/>
        <w:szCs w:val="14"/>
      </w:rPr>
      <w:tab/>
    </w:r>
    <w:r w:rsidRPr="008A7091">
      <w:rPr>
        <w:rFonts w:eastAsia="Times New Roman"/>
        <w:spacing w:val="2"/>
        <w:sz w:val="14"/>
        <w:szCs w:val="14"/>
      </w:rPr>
      <w:tab/>
    </w:r>
    <w:r w:rsidRPr="008A7091">
      <w:rPr>
        <w:rFonts w:eastAsia="Times New Roman"/>
        <w:spacing w:val="2"/>
        <w:sz w:val="14"/>
        <w:szCs w:val="14"/>
        <w:lang w:val="en-US"/>
      </w:rPr>
      <w:t>www</w:t>
    </w:r>
    <w:r w:rsidRPr="008A7091">
      <w:rPr>
        <w:rFonts w:eastAsia="Times New Roman"/>
        <w:spacing w:val="2"/>
        <w:sz w:val="14"/>
        <w:szCs w:val="14"/>
      </w:rPr>
      <w:t>.</w:t>
    </w:r>
    <w:proofErr w:type="spellStart"/>
    <w:r w:rsidRPr="008A7091">
      <w:rPr>
        <w:rFonts w:eastAsia="Times New Roman"/>
        <w:spacing w:val="2"/>
        <w:sz w:val="14"/>
        <w:szCs w:val="14"/>
        <w:lang w:val="en-US"/>
      </w:rPr>
      <w:t>evn</w:t>
    </w:r>
    <w:proofErr w:type="spellEnd"/>
    <w:r w:rsidRPr="008A7091">
      <w:rPr>
        <w:rFonts w:eastAsia="Times New Roman"/>
        <w:spacing w:val="2"/>
        <w:sz w:val="14"/>
        <w:szCs w:val="14"/>
      </w:rPr>
      <w:t>.</w:t>
    </w:r>
    <w:proofErr w:type="spellStart"/>
    <w:r w:rsidRPr="008A7091">
      <w:rPr>
        <w:rFonts w:eastAsia="Times New Roman"/>
        <w:spacing w:val="2"/>
        <w:sz w:val="14"/>
        <w:szCs w:val="14"/>
        <w:lang w:val="en-US"/>
      </w:rPr>
      <w:t>bg</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78060" w14:textId="77777777" w:rsidR="00307C53" w:rsidRDefault="00307C53" w:rsidP="00A97898">
      <w:r>
        <w:separator/>
      </w:r>
    </w:p>
  </w:footnote>
  <w:footnote w:type="continuationSeparator" w:id="0">
    <w:p w14:paraId="4D178061" w14:textId="77777777" w:rsidR="00307C53" w:rsidRDefault="00307C53" w:rsidP="00A97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B4378" w14:textId="77777777" w:rsidR="00307C53" w:rsidRDefault="00307C53" w:rsidP="00640A81">
    <w:pPr>
      <w:pStyle w:val="Header"/>
      <w:spacing w:line="200" w:lineRule="exact"/>
      <w:rPr>
        <w:noProof/>
        <w:sz w:val="16"/>
        <w:szCs w:val="16"/>
        <w:lang w:val="en-US" w:eastAsia="en-US"/>
      </w:rPr>
    </w:pPr>
  </w:p>
  <w:p w14:paraId="4D178067" w14:textId="53C846CF" w:rsidR="00307C53" w:rsidRPr="008B6C4F" w:rsidRDefault="00307C53" w:rsidP="00640A81">
    <w:pPr>
      <w:pStyle w:val="Header"/>
      <w:spacing w:line="200" w:lineRule="exact"/>
      <w:rPr>
        <w:sz w:val="16"/>
        <w:szCs w:val="16"/>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A1E9" w14:textId="1F5A2159" w:rsidR="00307C53" w:rsidRDefault="00307C53">
    <w:pPr>
      <w:pStyle w:val="Header"/>
    </w:pPr>
    <w:r>
      <w:rPr>
        <w:noProof/>
        <w:lang w:eastAsia="bg-BG"/>
      </w:rPr>
      <w:drawing>
        <wp:anchor distT="0" distB="0" distL="114300" distR="114300" simplePos="0" relativeHeight="251658240" behindDoc="0" locked="0" layoutInCell="1" allowOverlap="1" wp14:anchorId="5FBE05AF" wp14:editId="4959629A">
          <wp:simplePos x="0" y="0"/>
          <wp:positionH relativeFrom="page">
            <wp:posOffset>6012815</wp:posOffset>
          </wp:positionH>
          <wp:positionV relativeFrom="page">
            <wp:posOffset>345440</wp:posOffset>
          </wp:positionV>
          <wp:extent cx="1058400" cy="370800"/>
          <wp:effectExtent l="0" t="0" r="0" b="0"/>
          <wp:wrapNone/>
          <wp:docPr id="16" name="Picture 1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8400" cy="37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30CE6"/>
    <w:multiLevelType w:val="hybridMultilevel"/>
    <w:tmpl w:val="43C2B83C"/>
    <w:lvl w:ilvl="0" w:tplc="3F889A64">
      <w:start w:val="1"/>
      <w:numFmt w:val="upperLetter"/>
      <w:lvlText w:val="%1."/>
      <w:lvlJc w:val="left"/>
      <w:pPr>
        <w:ind w:left="720" w:hanging="360"/>
      </w:pPr>
      <w:rPr>
        <w:rFonts w:cs="Courier Ne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3740BC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21952"/>
    <w:multiLevelType w:val="hybridMultilevel"/>
    <w:tmpl w:val="1598AF14"/>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15:restartNumberingAfterBreak="0">
    <w:nsid w:val="07156697"/>
    <w:multiLevelType w:val="multilevel"/>
    <w:tmpl w:val="4FDAD042"/>
    <w:styleLink w:val="EVNList"/>
    <w:lvl w:ilvl="0">
      <w:start w:val="1"/>
      <w:numFmt w:val="bullet"/>
      <w:lvlText w:val=""/>
      <w:lvlJc w:val="left"/>
      <w:pPr>
        <w:tabs>
          <w:tab w:val="num" w:pos="255"/>
        </w:tabs>
        <w:ind w:left="255" w:hanging="255"/>
      </w:pPr>
      <w:rPr>
        <w:rFonts w:ascii="Frutiger Next for EVN Light" w:hAnsi="Frutiger Next for EVN Light" w:hint="default"/>
        <w:sz w:val="19"/>
      </w:rPr>
    </w:lvl>
    <w:lvl w:ilvl="1">
      <w:start w:val="1"/>
      <w:numFmt w:val="bullet"/>
      <w:lvlText w:val="–"/>
      <w:lvlJc w:val="left"/>
      <w:pPr>
        <w:tabs>
          <w:tab w:val="num" w:pos="510"/>
        </w:tabs>
        <w:ind w:left="510" w:hanging="255"/>
      </w:pPr>
      <w:rPr>
        <w:rFonts w:ascii="Frutiger Next for EVN Light" w:hAnsi="Frutiger Next for EVN Light" w:hint="default"/>
        <w:sz w:val="19"/>
      </w:rPr>
    </w:lvl>
    <w:lvl w:ilvl="2">
      <w:start w:val="1"/>
      <w:numFmt w:val="bullet"/>
      <w:lvlText w:val="–"/>
      <w:lvlJc w:val="left"/>
      <w:pPr>
        <w:tabs>
          <w:tab w:val="num" w:pos="765"/>
        </w:tabs>
        <w:ind w:left="765" w:hanging="255"/>
      </w:pPr>
      <w:rPr>
        <w:rFonts w:ascii="Frutiger Next for EVN Light" w:hAnsi="Frutiger Next for EVN Light" w:hint="default"/>
      </w:rPr>
    </w:lvl>
    <w:lvl w:ilvl="3">
      <w:start w:val="1"/>
      <w:numFmt w:val="bullet"/>
      <w:lvlText w:val="–"/>
      <w:lvlJc w:val="left"/>
      <w:pPr>
        <w:tabs>
          <w:tab w:val="num" w:pos="1021"/>
        </w:tabs>
        <w:ind w:left="1020" w:hanging="255"/>
      </w:pPr>
      <w:rPr>
        <w:rFonts w:ascii="Frutiger Next for EVN Light" w:hAnsi="Frutiger Next for EVN Light" w:hint="default"/>
      </w:rPr>
    </w:lvl>
    <w:lvl w:ilvl="4">
      <w:start w:val="1"/>
      <w:numFmt w:val="bullet"/>
      <w:lvlText w:val="–"/>
      <w:lvlJc w:val="left"/>
      <w:pPr>
        <w:tabs>
          <w:tab w:val="num" w:pos="1276"/>
        </w:tabs>
        <w:ind w:left="1275" w:hanging="255"/>
      </w:pPr>
      <w:rPr>
        <w:rFonts w:ascii="Frutiger Next for EVN Light" w:hAnsi="Frutiger Next for EVN Light" w:hint="default"/>
      </w:rPr>
    </w:lvl>
    <w:lvl w:ilvl="5">
      <w:start w:val="1"/>
      <w:numFmt w:val="bullet"/>
      <w:lvlText w:val="–"/>
      <w:lvlJc w:val="left"/>
      <w:pPr>
        <w:tabs>
          <w:tab w:val="num" w:pos="1531"/>
        </w:tabs>
        <w:ind w:left="1530" w:hanging="255"/>
      </w:pPr>
      <w:rPr>
        <w:rFonts w:ascii="Frutiger Next for EVN Light" w:hAnsi="Frutiger Next for EVN Light" w:hint="default"/>
      </w:rPr>
    </w:lvl>
    <w:lvl w:ilvl="6">
      <w:start w:val="1"/>
      <w:numFmt w:val="bullet"/>
      <w:lvlText w:val="–"/>
      <w:lvlJc w:val="left"/>
      <w:pPr>
        <w:tabs>
          <w:tab w:val="num" w:pos="1786"/>
        </w:tabs>
        <w:ind w:left="1785" w:hanging="255"/>
      </w:pPr>
      <w:rPr>
        <w:rFonts w:ascii="Frutiger Next for EVN Light" w:hAnsi="Frutiger Next for EVN Light" w:hint="default"/>
      </w:rPr>
    </w:lvl>
    <w:lvl w:ilvl="7">
      <w:start w:val="1"/>
      <w:numFmt w:val="bullet"/>
      <w:lvlText w:val="–"/>
      <w:lvlJc w:val="left"/>
      <w:pPr>
        <w:tabs>
          <w:tab w:val="num" w:pos="2041"/>
        </w:tabs>
        <w:ind w:left="2040" w:hanging="255"/>
      </w:pPr>
      <w:rPr>
        <w:rFonts w:ascii="Frutiger Next for EVN Light" w:hAnsi="Frutiger Next for EVN Light" w:hint="default"/>
      </w:rPr>
    </w:lvl>
    <w:lvl w:ilvl="8">
      <w:start w:val="1"/>
      <w:numFmt w:val="bullet"/>
      <w:lvlText w:val="–"/>
      <w:lvlJc w:val="left"/>
      <w:pPr>
        <w:tabs>
          <w:tab w:val="num" w:pos="2296"/>
        </w:tabs>
        <w:ind w:left="2295" w:hanging="255"/>
      </w:pPr>
      <w:rPr>
        <w:rFonts w:ascii="Frutiger Next for EVN Light" w:hAnsi="Frutiger Next for EVN Light" w:hint="default"/>
      </w:rPr>
    </w:lvl>
  </w:abstractNum>
  <w:abstractNum w:abstractNumId="3" w15:restartNumberingAfterBreak="0">
    <w:nsid w:val="0DA364C1"/>
    <w:multiLevelType w:val="hybridMultilevel"/>
    <w:tmpl w:val="195EAB7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03E43EA"/>
    <w:multiLevelType w:val="hybridMultilevel"/>
    <w:tmpl w:val="690C9198"/>
    <w:lvl w:ilvl="0" w:tplc="43740BC6">
      <w:start w:val="1"/>
      <w:numFmt w:val="decimal"/>
      <w:lvlText w:val="%1."/>
      <w:lvlJc w:val="left"/>
      <w:pPr>
        <w:ind w:left="28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3223710"/>
    <w:multiLevelType w:val="hybridMultilevel"/>
    <w:tmpl w:val="61F69AE8"/>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13B374B8"/>
    <w:multiLevelType w:val="hybridMultilevel"/>
    <w:tmpl w:val="08364C18"/>
    <w:lvl w:ilvl="0" w:tplc="11C07670">
      <w:start w:val="1"/>
      <w:numFmt w:val="bullet"/>
      <w:pStyle w:val="EVNBulletPoints1"/>
      <w:lvlText w:val="−"/>
      <w:lvlJc w:val="left"/>
      <w:pPr>
        <w:ind w:left="720" w:hanging="360"/>
      </w:pPr>
      <w:rPr>
        <w:rFonts w:ascii="Frutiger Next for EVN Light" w:hAnsi="Frutiger Next for EVN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51504DE"/>
    <w:multiLevelType w:val="hybridMultilevel"/>
    <w:tmpl w:val="2B84AAA2"/>
    <w:lvl w:ilvl="0" w:tplc="9274F83E">
      <w:start w:val="1"/>
      <w:numFmt w:val="decimal"/>
      <w:lvlText w:val="%1."/>
      <w:lvlJc w:val="left"/>
      <w:pPr>
        <w:ind w:left="1069" w:hanging="360"/>
      </w:pPr>
      <w:rPr>
        <w:rFonts w:asciiTheme="minorHAnsi" w:hAnsiTheme="minorHAnsi"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B507C87"/>
    <w:multiLevelType w:val="hybridMultilevel"/>
    <w:tmpl w:val="1F7C2D0C"/>
    <w:lvl w:ilvl="0" w:tplc="43740BC6">
      <w:start w:val="1"/>
      <w:numFmt w:val="decimal"/>
      <w:lvlText w:val="%1."/>
      <w:lvlJc w:val="left"/>
      <w:pPr>
        <w:ind w:left="28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DA15077"/>
    <w:multiLevelType w:val="multilevel"/>
    <w:tmpl w:val="FF5C1D54"/>
    <w:lvl w:ilvl="0">
      <w:start w:val="1"/>
      <w:numFmt w:val="decimal"/>
      <w:lvlText w:val="%1."/>
      <w:lvlJc w:val="left"/>
      <w:pPr>
        <w:ind w:left="1069" w:hanging="360"/>
      </w:pPr>
      <w:rPr>
        <w:rFonts w:ascii="Frutiger Next for EVN Light" w:hAnsi="Frutiger Next for EVN Light" w:hint="default"/>
        <w:sz w:val="19"/>
        <w:szCs w:val="19"/>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0" w15:restartNumberingAfterBreak="0">
    <w:nsid w:val="1E1117F4"/>
    <w:multiLevelType w:val="hybridMultilevel"/>
    <w:tmpl w:val="5720F2B4"/>
    <w:lvl w:ilvl="0" w:tplc="F5ECF204">
      <w:start w:val="17"/>
      <w:numFmt w:val="bullet"/>
      <w:lvlText w:val="-"/>
      <w:lvlJc w:val="left"/>
      <w:pPr>
        <w:ind w:left="1429" w:hanging="360"/>
      </w:pPr>
      <w:rPr>
        <w:rFonts w:ascii="Frutiger Next for EVN Light" w:eastAsia="Times New Roman" w:hAnsi="Frutiger Next for EVN Light" w:cs="Calibr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12B2BB9"/>
    <w:multiLevelType w:val="hybridMultilevel"/>
    <w:tmpl w:val="D9681688"/>
    <w:lvl w:ilvl="0" w:tplc="30860BB8">
      <w:start w:val="8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249788C"/>
    <w:multiLevelType w:val="hybridMultilevel"/>
    <w:tmpl w:val="C8480B0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26055636"/>
    <w:multiLevelType w:val="hybridMultilevel"/>
    <w:tmpl w:val="2C10D772"/>
    <w:lvl w:ilvl="0" w:tplc="F5ECF204">
      <w:start w:val="17"/>
      <w:numFmt w:val="bullet"/>
      <w:lvlText w:val="-"/>
      <w:lvlJc w:val="left"/>
      <w:pPr>
        <w:ind w:left="1789" w:hanging="360"/>
      </w:pPr>
      <w:rPr>
        <w:rFonts w:ascii="Frutiger Next for EVN Light" w:eastAsia="Times New Roman" w:hAnsi="Frutiger Next for EVN Light" w:cs="Calibri"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4" w15:restartNumberingAfterBreak="0">
    <w:nsid w:val="2835243C"/>
    <w:multiLevelType w:val="hybridMultilevel"/>
    <w:tmpl w:val="8E8AC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B3D6B89"/>
    <w:multiLevelType w:val="hybridMultilevel"/>
    <w:tmpl w:val="D1DED7F6"/>
    <w:lvl w:ilvl="0" w:tplc="0402000D">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37CD616D"/>
    <w:multiLevelType w:val="multilevel"/>
    <w:tmpl w:val="0C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3F461AD8"/>
    <w:multiLevelType w:val="hybridMultilevel"/>
    <w:tmpl w:val="05107B30"/>
    <w:lvl w:ilvl="0" w:tplc="F5ECF204">
      <w:start w:val="17"/>
      <w:numFmt w:val="bullet"/>
      <w:lvlText w:val="-"/>
      <w:lvlJc w:val="left"/>
      <w:pPr>
        <w:ind w:left="1429" w:hanging="360"/>
      </w:pPr>
      <w:rPr>
        <w:rFonts w:ascii="Frutiger Next for EVN Light" w:eastAsia="Times New Roman" w:hAnsi="Frutiger Next for EVN Light" w:cs="Calibr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07F7950"/>
    <w:multiLevelType w:val="hybridMultilevel"/>
    <w:tmpl w:val="F1226A42"/>
    <w:lvl w:ilvl="0" w:tplc="52F639AC">
      <w:start w:val="1"/>
      <w:numFmt w:val="bullet"/>
      <w:pStyle w:val="EVNBulletPoints2"/>
      <w:lvlText w:val=""/>
      <w:lvlJc w:val="left"/>
      <w:pPr>
        <w:ind w:left="360" w:hanging="360"/>
      </w:pPr>
      <w:rPr>
        <w:rFonts w:ascii="Frutiger Next for EVN Light" w:hAnsi="Frutiger Next for EVN Light" w:hint="default"/>
        <w:color w:val="8C8C8C"/>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414F4783"/>
    <w:multiLevelType w:val="hybridMultilevel"/>
    <w:tmpl w:val="F0442448"/>
    <w:lvl w:ilvl="0" w:tplc="C3589CC0">
      <w:numFmt w:val="bullet"/>
      <w:lvlText w:val="-"/>
      <w:lvlJc w:val="left"/>
      <w:pPr>
        <w:ind w:left="1080" w:hanging="360"/>
      </w:pPr>
      <w:rPr>
        <w:rFonts w:ascii="Frutiger Next for EVN Light" w:eastAsia="Frutiger Next for EVN Light" w:hAnsi="Frutiger Next for EVN Ligh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577A51"/>
    <w:multiLevelType w:val="multilevel"/>
    <w:tmpl w:val="47D4DFB8"/>
    <w:lvl w:ilvl="0">
      <w:start w:val="1"/>
      <w:numFmt w:val="upperRoman"/>
      <w:lvlText w:val="%1."/>
      <w:lvlJc w:val="left"/>
      <w:pPr>
        <w:ind w:left="0" w:firstLine="0"/>
      </w:pPr>
    </w:lvl>
    <w:lvl w:ilvl="1">
      <w:start w:val="1"/>
      <w:numFmt w:val="upperLetter"/>
      <w:lvlText w:val="%2."/>
      <w:lvlJc w:val="left"/>
      <w:pPr>
        <w:ind w:left="710" w:firstLine="0"/>
      </w:pPr>
    </w:lvl>
    <w:lvl w:ilvl="2">
      <w:start w:val="1"/>
      <w:numFmt w:val="decimal"/>
      <w:lvlText w:val="%3."/>
      <w:lvlJc w:val="left"/>
      <w:pPr>
        <w:ind w:left="1559" w:firstLine="0"/>
      </w:pPr>
      <w:rPr>
        <w:rFonts w:ascii="Frutiger Next for EVN Light" w:hAnsi="Frutiger Next for EVN Light" w:hint="default"/>
        <w:sz w:val="20"/>
        <w:szCs w:val="20"/>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1" w15:restartNumberingAfterBreak="0">
    <w:nsid w:val="4ABA00F2"/>
    <w:multiLevelType w:val="hybridMultilevel"/>
    <w:tmpl w:val="0908FC8A"/>
    <w:lvl w:ilvl="0" w:tplc="DB2A7070">
      <w:start w:val="1"/>
      <w:numFmt w:val="decimal"/>
      <w:lvlText w:val="%1."/>
      <w:lvlJc w:val="left"/>
      <w:pPr>
        <w:ind w:left="1069" w:hanging="360"/>
      </w:pPr>
      <w:rPr>
        <w:rFonts w:ascii="Frutiger Next for EVN Light" w:hAnsi="Frutiger Next for EVN Light" w:hint="default"/>
        <w:sz w:val="19"/>
        <w:szCs w:val="19"/>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2" w15:restartNumberingAfterBreak="0">
    <w:nsid w:val="4FE833CD"/>
    <w:multiLevelType w:val="hybridMultilevel"/>
    <w:tmpl w:val="FE2C6F38"/>
    <w:lvl w:ilvl="0" w:tplc="04020001">
      <w:start w:val="1"/>
      <w:numFmt w:val="bullet"/>
      <w:lvlText w:val=""/>
      <w:lvlJc w:val="left"/>
      <w:pPr>
        <w:ind w:left="1494" w:hanging="360"/>
      </w:pPr>
      <w:rPr>
        <w:rFonts w:ascii="Symbol" w:hAnsi="Symbol"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23" w15:restartNumberingAfterBreak="0">
    <w:nsid w:val="52891E8F"/>
    <w:multiLevelType w:val="hybridMultilevel"/>
    <w:tmpl w:val="CB982D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5236462"/>
    <w:multiLevelType w:val="hybridMultilevel"/>
    <w:tmpl w:val="CC10F9C2"/>
    <w:lvl w:ilvl="0" w:tplc="0402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5" w15:restartNumberingAfterBreak="0">
    <w:nsid w:val="5C707045"/>
    <w:multiLevelType w:val="hybridMultilevel"/>
    <w:tmpl w:val="C624CA80"/>
    <w:lvl w:ilvl="0" w:tplc="CCC07AB4">
      <w:start w:val="1"/>
      <w:numFmt w:val="bullet"/>
      <w:pStyle w:val="EVNBulletPoints3"/>
      <w:lvlText w:val=""/>
      <w:lvlJc w:val="left"/>
      <w:pPr>
        <w:ind w:left="720" w:hanging="360"/>
      </w:pPr>
      <w:rPr>
        <w:rFonts w:ascii="Frutiger Next for EVN Light" w:hAnsi="Frutiger Next for EVN Light" w:hint="default"/>
        <w:color w:val="E0001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005CAE"/>
    <w:multiLevelType w:val="hybridMultilevel"/>
    <w:tmpl w:val="7EA0541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15:restartNumberingAfterBreak="0">
    <w:nsid w:val="63324739"/>
    <w:multiLevelType w:val="hybridMultilevel"/>
    <w:tmpl w:val="2084CC6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5EF40D2"/>
    <w:multiLevelType w:val="hybridMultilevel"/>
    <w:tmpl w:val="0032D9D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8F83E47"/>
    <w:multiLevelType w:val="hybridMultilevel"/>
    <w:tmpl w:val="FC527010"/>
    <w:lvl w:ilvl="0" w:tplc="AAFC393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C5247A7"/>
    <w:multiLevelType w:val="hybridMultilevel"/>
    <w:tmpl w:val="172EAE2C"/>
    <w:lvl w:ilvl="0" w:tplc="43740BC6">
      <w:start w:val="1"/>
      <w:numFmt w:val="decimal"/>
      <w:lvlText w:val="%1."/>
      <w:lvlJc w:val="left"/>
      <w:pPr>
        <w:ind w:left="28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D6F19AE"/>
    <w:multiLevelType w:val="hybridMultilevel"/>
    <w:tmpl w:val="47E6B596"/>
    <w:lvl w:ilvl="0" w:tplc="D89C5282">
      <w:start w:val="1"/>
      <w:numFmt w:val="bullet"/>
      <w:lvlText w:val=""/>
      <w:lvlJc w:val="left"/>
      <w:pPr>
        <w:ind w:left="1494" w:hanging="360"/>
      </w:pPr>
      <w:rPr>
        <w:rFonts w:ascii="Symbol" w:hAnsi="Symbol" w:hint="default"/>
        <w:color w:val="000000" w:themeColor="text1"/>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32" w15:restartNumberingAfterBreak="0">
    <w:nsid w:val="6EDC33EC"/>
    <w:multiLevelType w:val="hybridMultilevel"/>
    <w:tmpl w:val="C67AB8E0"/>
    <w:lvl w:ilvl="0" w:tplc="0402000D">
      <w:start w:val="1"/>
      <w:numFmt w:val="bullet"/>
      <w:lvlText w:val=""/>
      <w:lvlJc w:val="left"/>
      <w:pPr>
        <w:ind w:left="765" w:hanging="360"/>
      </w:pPr>
      <w:rPr>
        <w:rFonts w:ascii="Wingdings" w:hAnsi="Wingdings"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num w:numId="1" w16cid:durableId="879827482">
    <w:abstractNumId w:val="16"/>
  </w:num>
  <w:num w:numId="2" w16cid:durableId="1115517956">
    <w:abstractNumId w:val="6"/>
  </w:num>
  <w:num w:numId="3" w16cid:durableId="1341159759">
    <w:abstractNumId w:val="18"/>
  </w:num>
  <w:num w:numId="4" w16cid:durableId="1699772043">
    <w:abstractNumId w:val="2"/>
  </w:num>
  <w:num w:numId="5" w16cid:durableId="429352357">
    <w:abstractNumId w:val="25"/>
  </w:num>
  <w:num w:numId="6" w16cid:durableId="1891644745">
    <w:abstractNumId w:val="20"/>
  </w:num>
  <w:num w:numId="7" w16cid:durableId="1300303615">
    <w:abstractNumId w:val="22"/>
  </w:num>
  <w:num w:numId="8" w16cid:durableId="5611368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1131492">
    <w:abstractNumId w:val="12"/>
  </w:num>
  <w:num w:numId="10" w16cid:durableId="1484200424">
    <w:abstractNumId w:val="10"/>
  </w:num>
  <w:num w:numId="11" w16cid:durableId="2058695208">
    <w:abstractNumId w:val="17"/>
  </w:num>
  <w:num w:numId="12" w16cid:durableId="497574769">
    <w:abstractNumId w:val="0"/>
  </w:num>
  <w:num w:numId="13" w16cid:durableId="1528255722">
    <w:abstractNumId w:val="7"/>
  </w:num>
  <w:num w:numId="14" w16cid:durableId="1511484320">
    <w:abstractNumId w:val="29"/>
  </w:num>
  <w:num w:numId="15" w16cid:durableId="549611281">
    <w:abstractNumId w:val="11"/>
  </w:num>
  <w:num w:numId="16" w16cid:durableId="1487437646">
    <w:abstractNumId w:val="14"/>
  </w:num>
  <w:num w:numId="17" w16cid:durableId="1820883980">
    <w:abstractNumId w:val="15"/>
  </w:num>
  <w:num w:numId="18" w16cid:durableId="1036541967">
    <w:abstractNumId w:val="23"/>
  </w:num>
  <w:num w:numId="19" w16cid:durableId="488596174">
    <w:abstractNumId w:val="3"/>
  </w:num>
  <w:num w:numId="20" w16cid:durableId="389154078">
    <w:abstractNumId w:val="28"/>
  </w:num>
  <w:num w:numId="21" w16cid:durableId="997341165">
    <w:abstractNumId w:val="24"/>
  </w:num>
  <w:num w:numId="22" w16cid:durableId="128475104">
    <w:abstractNumId w:val="19"/>
  </w:num>
  <w:num w:numId="23" w16cid:durableId="1399938648">
    <w:abstractNumId w:val="30"/>
  </w:num>
  <w:num w:numId="24" w16cid:durableId="1312515360">
    <w:abstractNumId w:val="16"/>
  </w:num>
  <w:num w:numId="25" w16cid:durableId="177426959">
    <w:abstractNumId w:val="16"/>
  </w:num>
  <w:num w:numId="26" w16cid:durableId="1316255262">
    <w:abstractNumId w:val="16"/>
  </w:num>
  <w:num w:numId="27" w16cid:durableId="1590381535">
    <w:abstractNumId w:val="4"/>
  </w:num>
  <w:num w:numId="28" w16cid:durableId="1975401833">
    <w:abstractNumId w:val="16"/>
  </w:num>
  <w:num w:numId="29" w16cid:durableId="1850870261">
    <w:abstractNumId w:val="26"/>
  </w:num>
  <w:num w:numId="30" w16cid:durableId="1318608874">
    <w:abstractNumId w:val="32"/>
  </w:num>
  <w:num w:numId="31" w16cid:durableId="1156068323">
    <w:abstractNumId w:val="16"/>
  </w:num>
  <w:num w:numId="32" w16cid:durableId="814227693">
    <w:abstractNumId w:val="9"/>
  </w:num>
  <w:num w:numId="33" w16cid:durableId="2070764761">
    <w:abstractNumId w:val="21"/>
  </w:num>
  <w:num w:numId="34" w16cid:durableId="358237933">
    <w:abstractNumId w:val="13"/>
  </w:num>
  <w:num w:numId="35" w16cid:durableId="512232788">
    <w:abstractNumId w:val="5"/>
  </w:num>
  <w:num w:numId="36" w16cid:durableId="1763064325">
    <w:abstractNumId w:val="8"/>
  </w:num>
  <w:num w:numId="37" w16cid:durableId="1741168176">
    <w:abstractNumId w:val="31"/>
  </w:num>
  <w:num w:numId="38" w16cid:durableId="481196448">
    <w:abstractNumId w:val="1"/>
  </w:num>
  <w:num w:numId="39" w16cid:durableId="1833253014">
    <w:abstractNumId w:val="16"/>
  </w:num>
  <w:num w:numId="40" w16cid:durableId="1418937623">
    <w:abstractNumId w:val="16"/>
  </w:num>
  <w:num w:numId="41" w16cid:durableId="705907825">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ocumentProtection w:edit="forms" w:enforcement="0"/>
  <w:defaultTabStop w:val="709"/>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C1C"/>
    <w:rsid w:val="000023C5"/>
    <w:rsid w:val="000104F4"/>
    <w:rsid w:val="00011399"/>
    <w:rsid w:val="00016B14"/>
    <w:rsid w:val="000210AD"/>
    <w:rsid w:val="00023556"/>
    <w:rsid w:val="00025329"/>
    <w:rsid w:val="000277F7"/>
    <w:rsid w:val="00030CB5"/>
    <w:rsid w:val="00032B93"/>
    <w:rsid w:val="00040367"/>
    <w:rsid w:val="000434EA"/>
    <w:rsid w:val="000468EC"/>
    <w:rsid w:val="00054CF1"/>
    <w:rsid w:val="00057B8E"/>
    <w:rsid w:val="00061886"/>
    <w:rsid w:val="0006380E"/>
    <w:rsid w:val="00066713"/>
    <w:rsid w:val="00074983"/>
    <w:rsid w:val="00077059"/>
    <w:rsid w:val="00077FFB"/>
    <w:rsid w:val="00080092"/>
    <w:rsid w:val="00080CE3"/>
    <w:rsid w:val="0008175E"/>
    <w:rsid w:val="0008540D"/>
    <w:rsid w:val="0008702E"/>
    <w:rsid w:val="0008777D"/>
    <w:rsid w:val="000901A4"/>
    <w:rsid w:val="000905DF"/>
    <w:rsid w:val="00091287"/>
    <w:rsid w:val="0009518C"/>
    <w:rsid w:val="00097003"/>
    <w:rsid w:val="000979F5"/>
    <w:rsid w:val="00097C1F"/>
    <w:rsid w:val="000A2D97"/>
    <w:rsid w:val="000A359E"/>
    <w:rsid w:val="000A7E2C"/>
    <w:rsid w:val="000B308E"/>
    <w:rsid w:val="000B33C4"/>
    <w:rsid w:val="000B365B"/>
    <w:rsid w:val="000B58AB"/>
    <w:rsid w:val="000B713B"/>
    <w:rsid w:val="000C225C"/>
    <w:rsid w:val="000D3547"/>
    <w:rsid w:val="000D4011"/>
    <w:rsid w:val="000D48EF"/>
    <w:rsid w:val="000E311E"/>
    <w:rsid w:val="000E3227"/>
    <w:rsid w:val="000E5298"/>
    <w:rsid w:val="000E564C"/>
    <w:rsid w:val="000F02B3"/>
    <w:rsid w:val="000F051E"/>
    <w:rsid w:val="000F4443"/>
    <w:rsid w:val="000F4E83"/>
    <w:rsid w:val="00100081"/>
    <w:rsid w:val="00100AF6"/>
    <w:rsid w:val="001044E6"/>
    <w:rsid w:val="0010510A"/>
    <w:rsid w:val="00107C1D"/>
    <w:rsid w:val="001107B0"/>
    <w:rsid w:val="001128C5"/>
    <w:rsid w:val="0011563C"/>
    <w:rsid w:val="00116F95"/>
    <w:rsid w:val="00120FF3"/>
    <w:rsid w:val="00122B72"/>
    <w:rsid w:val="001248D0"/>
    <w:rsid w:val="00125B4E"/>
    <w:rsid w:val="00126336"/>
    <w:rsid w:val="00126A16"/>
    <w:rsid w:val="0013251F"/>
    <w:rsid w:val="00132BD6"/>
    <w:rsid w:val="00133D6D"/>
    <w:rsid w:val="00133EF3"/>
    <w:rsid w:val="001353B8"/>
    <w:rsid w:val="00141377"/>
    <w:rsid w:val="00144FD9"/>
    <w:rsid w:val="0014780D"/>
    <w:rsid w:val="00155BBB"/>
    <w:rsid w:val="001561F2"/>
    <w:rsid w:val="00160D8D"/>
    <w:rsid w:val="00167EE6"/>
    <w:rsid w:val="00170A65"/>
    <w:rsid w:val="00171AA5"/>
    <w:rsid w:val="001725AC"/>
    <w:rsid w:val="00173AE1"/>
    <w:rsid w:val="001773D6"/>
    <w:rsid w:val="00177FA6"/>
    <w:rsid w:val="00182385"/>
    <w:rsid w:val="00187C1C"/>
    <w:rsid w:val="001907F5"/>
    <w:rsid w:val="0019084E"/>
    <w:rsid w:val="00192316"/>
    <w:rsid w:val="00193199"/>
    <w:rsid w:val="00193630"/>
    <w:rsid w:val="00194400"/>
    <w:rsid w:val="001A0E0A"/>
    <w:rsid w:val="001B2B2F"/>
    <w:rsid w:val="001B4717"/>
    <w:rsid w:val="001B4821"/>
    <w:rsid w:val="001B604C"/>
    <w:rsid w:val="001B772A"/>
    <w:rsid w:val="001C21F9"/>
    <w:rsid w:val="001C5B75"/>
    <w:rsid w:val="001D4212"/>
    <w:rsid w:val="001D4E8F"/>
    <w:rsid w:val="001E0E7C"/>
    <w:rsid w:val="001E1AA6"/>
    <w:rsid w:val="001E2111"/>
    <w:rsid w:val="001E5331"/>
    <w:rsid w:val="001E6014"/>
    <w:rsid w:val="001F6858"/>
    <w:rsid w:val="002044E4"/>
    <w:rsid w:val="002119D5"/>
    <w:rsid w:val="00214BF8"/>
    <w:rsid w:val="002159C9"/>
    <w:rsid w:val="002160F8"/>
    <w:rsid w:val="00216977"/>
    <w:rsid w:val="00222839"/>
    <w:rsid w:val="00224038"/>
    <w:rsid w:val="00225F24"/>
    <w:rsid w:val="00226ECF"/>
    <w:rsid w:val="00227DB3"/>
    <w:rsid w:val="00230BDB"/>
    <w:rsid w:val="002321D1"/>
    <w:rsid w:val="00232BB2"/>
    <w:rsid w:val="00232BD3"/>
    <w:rsid w:val="00235D8B"/>
    <w:rsid w:val="00237775"/>
    <w:rsid w:val="0024207D"/>
    <w:rsid w:val="002475AB"/>
    <w:rsid w:val="00255B5F"/>
    <w:rsid w:val="002568D0"/>
    <w:rsid w:val="00271FB5"/>
    <w:rsid w:val="0027382C"/>
    <w:rsid w:val="00273CAE"/>
    <w:rsid w:val="002751FA"/>
    <w:rsid w:val="00280FA5"/>
    <w:rsid w:val="00282901"/>
    <w:rsid w:val="00285631"/>
    <w:rsid w:val="0029199D"/>
    <w:rsid w:val="00292B6D"/>
    <w:rsid w:val="002947E7"/>
    <w:rsid w:val="00295A21"/>
    <w:rsid w:val="002A23F7"/>
    <w:rsid w:val="002A5C8C"/>
    <w:rsid w:val="002B0A42"/>
    <w:rsid w:val="002B1ABD"/>
    <w:rsid w:val="002B1C25"/>
    <w:rsid w:val="002B1F78"/>
    <w:rsid w:val="002B2A54"/>
    <w:rsid w:val="002B2C95"/>
    <w:rsid w:val="002B303B"/>
    <w:rsid w:val="002B4D7D"/>
    <w:rsid w:val="002B60CD"/>
    <w:rsid w:val="002C0021"/>
    <w:rsid w:val="002C0847"/>
    <w:rsid w:val="002C3841"/>
    <w:rsid w:val="002C6027"/>
    <w:rsid w:val="002C71F1"/>
    <w:rsid w:val="002C7B2C"/>
    <w:rsid w:val="002D14C3"/>
    <w:rsid w:val="002D19E0"/>
    <w:rsid w:val="002D4966"/>
    <w:rsid w:val="002D5A75"/>
    <w:rsid w:val="002D7158"/>
    <w:rsid w:val="002E0BB6"/>
    <w:rsid w:val="002E4A69"/>
    <w:rsid w:val="002F2952"/>
    <w:rsid w:val="002F7172"/>
    <w:rsid w:val="0030476A"/>
    <w:rsid w:val="00305F01"/>
    <w:rsid w:val="00306705"/>
    <w:rsid w:val="00307077"/>
    <w:rsid w:val="00307C53"/>
    <w:rsid w:val="003108DC"/>
    <w:rsid w:val="00312F01"/>
    <w:rsid w:val="003135C9"/>
    <w:rsid w:val="00314083"/>
    <w:rsid w:val="00315DFA"/>
    <w:rsid w:val="0031600B"/>
    <w:rsid w:val="00316E4B"/>
    <w:rsid w:val="00322FF5"/>
    <w:rsid w:val="003231CF"/>
    <w:rsid w:val="003240DC"/>
    <w:rsid w:val="003245E6"/>
    <w:rsid w:val="003253D9"/>
    <w:rsid w:val="0032540C"/>
    <w:rsid w:val="003267A9"/>
    <w:rsid w:val="00326DAE"/>
    <w:rsid w:val="0032766B"/>
    <w:rsid w:val="003300FA"/>
    <w:rsid w:val="00332A36"/>
    <w:rsid w:val="00334476"/>
    <w:rsid w:val="003349FE"/>
    <w:rsid w:val="00342A69"/>
    <w:rsid w:val="00345F42"/>
    <w:rsid w:val="003479D6"/>
    <w:rsid w:val="0035082F"/>
    <w:rsid w:val="003524C8"/>
    <w:rsid w:val="003565E4"/>
    <w:rsid w:val="003569D9"/>
    <w:rsid w:val="00356D1B"/>
    <w:rsid w:val="003603E5"/>
    <w:rsid w:val="00361D15"/>
    <w:rsid w:val="00364E9A"/>
    <w:rsid w:val="003827DC"/>
    <w:rsid w:val="00385E59"/>
    <w:rsid w:val="00386AE8"/>
    <w:rsid w:val="0039140F"/>
    <w:rsid w:val="0039463C"/>
    <w:rsid w:val="003947DC"/>
    <w:rsid w:val="003972AA"/>
    <w:rsid w:val="0039749B"/>
    <w:rsid w:val="003A4A8D"/>
    <w:rsid w:val="003A78F5"/>
    <w:rsid w:val="003B05FC"/>
    <w:rsid w:val="003B1D9E"/>
    <w:rsid w:val="003B250F"/>
    <w:rsid w:val="003B3689"/>
    <w:rsid w:val="003B4D86"/>
    <w:rsid w:val="003B51D0"/>
    <w:rsid w:val="003B6192"/>
    <w:rsid w:val="003C3152"/>
    <w:rsid w:val="003C486B"/>
    <w:rsid w:val="003C4B16"/>
    <w:rsid w:val="003E1503"/>
    <w:rsid w:val="003E3213"/>
    <w:rsid w:val="003E3FE1"/>
    <w:rsid w:val="003E7F87"/>
    <w:rsid w:val="003F2201"/>
    <w:rsid w:val="003F3ECF"/>
    <w:rsid w:val="003F4779"/>
    <w:rsid w:val="003F675B"/>
    <w:rsid w:val="003F7666"/>
    <w:rsid w:val="00400BA5"/>
    <w:rsid w:val="0040178D"/>
    <w:rsid w:val="00403651"/>
    <w:rsid w:val="0041122B"/>
    <w:rsid w:val="004112E6"/>
    <w:rsid w:val="0041143C"/>
    <w:rsid w:val="00411B02"/>
    <w:rsid w:val="00411DC7"/>
    <w:rsid w:val="00412D0B"/>
    <w:rsid w:val="004131AE"/>
    <w:rsid w:val="0041620C"/>
    <w:rsid w:val="00416E99"/>
    <w:rsid w:val="00416FD4"/>
    <w:rsid w:val="004177F3"/>
    <w:rsid w:val="00417CA3"/>
    <w:rsid w:val="00420058"/>
    <w:rsid w:val="00423DAA"/>
    <w:rsid w:val="00424AA3"/>
    <w:rsid w:val="004253F3"/>
    <w:rsid w:val="00432809"/>
    <w:rsid w:val="00436275"/>
    <w:rsid w:val="00452D41"/>
    <w:rsid w:val="00456103"/>
    <w:rsid w:val="00462800"/>
    <w:rsid w:val="00465950"/>
    <w:rsid w:val="004668D9"/>
    <w:rsid w:val="00467ADD"/>
    <w:rsid w:val="004739C5"/>
    <w:rsid w:val="00473B1B"/>
    <w:rsid w:val="00475387"/>
    <w:rsid w:val="004758E4"/>
    <w:rsid w:val="00477AE3"/>
    <w:rsid w:val="00477E9A"/>
    <w:rsid w:val="004862A5"/>
    <w:rsid w:val="00490011"/>
    <w:rsid w:val="004A0087"/>
    <w:rsid w:val="004A5DCA"/>
    <w:rsid w:val="004B1626"/>
    <w:rsid w:val="004B5C77"/>
    <w:rsid w:val="004B666F"/>
    <w:rsid w:val="004C158F"/>
    <w:rsid w:val="004C1C16"/>
    <w:rsid w:val="004C33F5"/>
    <w:rsid w:val="004C42C1"/>
    <w:rsid w:val="004C4E3D"/>
    <w:rsid w:val="004C5529"/>
    <w:rsid w:val="004C74C5"/>
    <w:rsid w:val="004D0F94"/>
    <w:rsid w:val="004D3EB2"/>
    <w:rsid w:val="004D462B"/>
    <w:rsid w:val="004D4CE0"/>
    <w:rsid w:val="004D547F"/>
    <w:rsid w:val="004D7552"/>
    <w:rsid w:val="004E3D1F"/>
    <w:rsid w:val="004E3D94"/>
    <w:rsid w:val="004E7546"/>
    <w:rsid w:val="004F085C"/>
    <w:rsid w:val="004F1221"/>
    <w:rsid w:val="004F32ED"/>
    <w:rsid w:val="005010E4"/>
    <w:rsid w:val="00505464"/>
    <w:rsid w:val="00510171"/>
    <w:rsid w:val="00515182"/>
    <w:rsid w:val="005164F5"/>
    <w:rsid w:val="00520F9D"/>
    <w:rsid w:val="005215CA"/>
    <w:rsid w:val="0052250F"/>
    <w:rsid w:val="00524E2D"/>
    <w:rsid w:val="00527C42"/>
    <w:rsid w:val="00534AC9"/>
    <w:rsid w:val="005404EA"/>
    <w:rsid w:val="00552779"/>
    <w:rsid w:val="00554977"/>
    <w:rsid w:val="00561D76"/>
    <w:rsid w:val="0056232A"/>
    <w:rsid w:val="00566766"/>
    <w:rsid w:val="00567FD1"/>
    <w:rsid w:val="0057086A"/>
    <w:rsid w:val="00570902"/>
    <w:rsid w:val="00570C21"/>
    <w:rsid w:val="0057455F"/>
    <w:rsid w:val="005766D0"/>
    <w:rsid w:val="00577482"/>
    <w:rsid w:val="00580659"/>
    <w:rsid w:val="005806DB"/>
    <w:rsid w:val="00580BD3"/>
    <w:rsid w:val="00581846"/>
    <w:rsid w:val="00581A8D"/>
    <w:rsid w:val="00581B19"/>
    <w:rsid w:val="00582DF6"/>
    <w:rsid w:val="00584830"/>
    <w:rsid w:val="0058773F"/>
    <w:rsid w:val="00590C03"/>
    <w:rsid w:val="005928F0"/>
    <w:rsid w:val="005934F1"/>
    <w:rsid w:val="00594CB9"/>
    <w:rsid w:val="00595945"/>
    <w:rsid w:val="005962C8"/>
    <w:rsid w:val="005A0A75"/>
    <w:rsid w:val="005A19E7"/>
    <w:rsid w:val="005A2E50"/>
    <w:rsid w:val="005A4BA8"/>
    <w:rsid w:val="005A4DBF"/>
    <w:rsid w:val="005A5AA9"/>
    <w:rsid w:val="005A66DB"/>
    <w:rsid w:val="005A71B0"/>
    <w:rsid w:val="005B0B5B"/>
    <w:rsid w:val="005B0E84"/>
    <w:rsid w:val="005B29C2"/>
    <w:rsid w:val="005B311E"/>
    <w:rsid w:val="005B5E00"/>
    <w:rsid w:val="005C2C3A"/>
    <w:rsid w:val="005D1129"/>
    <w:rsid w:val="005D5BC1"/>
    <w:rsid w:val="005D6CAE"/>
    <w:rsid w:val="005E0DBA"/>
    <w:rsid w:val="005E385D"/>
    <w:rsid w:val="005E3D57"/>
    <w:rsid w:val="005E41E4"/>
    <w:rsid w:val="005E42B5"/>
    <w:rsid w:val="005E4409"/>
    <w:rsid w:val="005F16AF"/>
    <w:rsid w:val="005F48B5"/>
    <w:rsid w:val="005F4B24"/>
    <w:rsid w:val="005F6389"/>
    <w:rsid w:val="005F6470"/>
    <w:rsid w:val="005F725B"/>
    <w:rsid w:val="00600ADB"/>
    <w:rsid w:val="00600DCB"/>
    <w:rsid w:val="006044EF"/>
    <w:rsid w:val="00604526"/>
    <w:rsid w:val="00611BD3"/>
    <w:rsid w:val="00614FFC"/>
    <w:rsid w:val="006153D8"/>
    <w:rsid w:val="006179E7"/>
    <w:rsid w:val="00623D94"/>
    <w:rsid w:val="006247DC"/>
    <w:rsid w:val="00625525"/>
    <w:rsid w:val="00626041"/>
    <w:rsid w:val="006307B9"/>
    <w:rsid w:val="00630B9A"/>
    <w:rsid w:val="00633016"/>
    <w:rsid w:val="00634447"/>
    <w:rsid w:val="00634D3C"/>
    <w:rsid w:val="00635002"/>
    <w:rsid w:val="00640343"/>
    <w:rsid w:val="00640A81"/>
    <w:rsid w:val="0064327E"/>
    <w:rsid w:val="00646464"/>
    <w:rsid w:val="00650FF7"/>
    <w:rsid w:val="00651AD7"/>
    <w:rsid w:val="00651DEC"/>
    <w:rsid w:val="00652366"/>
    <w:rsid w:val="00654279"/>
    <w:rsid w:val="00656078"/>
    <w:rsid w:val="00665312"/>
    <w:rsid w:val="00666429"/>
    <w:rsid w:val="00667EDE"/>
    <w:rsid w:val="00670A9E"/>
    <w:rsid w:val="00674581"/>
    <w:rsid w:val="006758AC"/>
    <w:rsid w:val="00675FDB"/>
    <w:rsid w:val="006908D3"/>
    <w:rsid w:val="0069263D"/>
    <w:rsid w:val="00694543"/>
    <w:rsid w:val="006A01D7"/>
    <w:rsid w:val="006A0389"/>
    <w:rsid w:val="006A050A"/>
    <w:rsid w:val="006A2ABB"/>
    <w:rsid w:val="006A3AFF"/>
    <w:rsid w:val="006A77DC"/>
    <w:rsid w:val="006B3B5D"/>
    <w:rsid w:val="006B41AE"/>
    <w:rsid w:val="006B58C8"/>
    <w:rsid w:val="006B731D"/>
    <w:rsid w:val="006C078C"/>
    <w:rsid w:val="006C3B49"/>
    <w:rsid w:val="006C3F30"/>
    <w:rsid w:val="006C467A"/>
    <w:rsid w:val="006C467F"/>
    <w:rsid w:val="006C6177"/>
    <w:rsid w:val="006D1F04"/>
    <w:rsid w:val="006D2C33"/>
    <w:rsid w:val="006D41AF"/>
    <w:rsid w:val="006D57C2"/>
    <w:rsid w:val="006D633D"/>
    <w:rsid w:val="006E10E7"/>
    <w:rsid w:val="006E13C2"/>
    <w:rsid w:val="006E4568"/>
    <w:rsid w:val="006E4E77"/>
    <w:rsid w:val="006F13B3"/>
    <w:rsid w:val="006F3E9A"/>
    <w:rsid w:val="00700718"/>
    <w:rsid w:val="00702BF8"/>
    <w:rsid w:val="00706414"/>
    <w:rsid w:val="0071034E"/>
    <w:rsid w:val="007207B8"/>
    <w:rsid w:val="00720C96"/>
    <w:rsid w:val="00730403"/>
    <w:rsid w:val="00730F08"/>
    <w:rsid w:val="00732A27"/>
    <w:rsid w:val="00734144"/>
    <w:rsid w:val="00735312"/>
    <w:rsid w:val="007365DA"/>
    <w:rsid w:val="00741725"/>
    <w:rsid w:val="00744DEE"/>
    <w:rsid w:val="007455A9"/>
    <w:rsid w:val="007520E0"/>
    <w:rsid w:val="00757F36"/>
    <w:rsid w:val="00762D1C"/>
    <w:rsid w:val="00770AA1"/>
    <w:rsid w:val="00773684"/>
    <w:rsid w:val="0077593A"/>
    <w:rsid w:val="00780438"/>
    <w:rsid w:val="0078677C"/>
    <w:rsid w:val="007A1633"/>
    <w:rsid w:val="007A2A63"/>
    <w:rsid w:val="007A5A0D"/>
    <w:rsid w:val="007A70C7"/>
    <w:rsid w:val="007A7CC9"/>
    <w:rsid w:val="007B2215"/>
    <w:rsid w:val="007B25D3"/>
    <w:rsid w:val="007B3C5F"/>
    <w:rsid w:val="007B4269"/>
    <w:rsid w:val="007B6988"/>
    <w:rsid w:val="007B69C0"/>
    <w:rsid w:val="007C0A2C"/>
    <w:rsid w:val="007C2BE6"/>
    <w:rsid w:val="007C3C6A"/>
    <w:rsid w:val="007C3D76"/>
    <w:rsid w:val="007C63A8"/>
    <w:rsid w:val="007C67AB"/>
    <w:rsid w:val="007C756E"/>
    <w:rsid w:val="007D36FD"/>
    <w:rsid w:val="007D61FC"/>
    <w:rsid w:val="007D6DB0"/>
    <w:rsid w:val="007E0C92"/>
    <w:rsid w:val="007E2B55"/>
    <w:rsid w:val="007F4068"/>
    <w:rsid w:val="007F59CB"/>
    <w:rsid w:val="007F61E1"/>
    <w:rsid w:val="007F759D"/>
    <w:rsid w:val="008128A4"/>
    <w:rsid w:val="00812E2D"/>
    <w:rsid w:val="00814034"/>
    <w:rsid w:val="00814207"/>
    <w:rsid w:val="00816926"/>
    <w:rsid w:val="00820337"/>
    <w:rsid w:val="00820732"/>
    <w:rsid w:val="00822DC5"/>
    <w:rsid w:val="00825B2D"/>
    <w:rsid w:val="0083121E"/>
    <w:rsid w:val="00835004"/>
    <w:rsid w:val="00835378"/>
    <w:rsid w:val="008369E6"/>
    <w:rsid w:val="00837C53"/>
    <w:rsid w:val="00840879"/>
    <w:rsid w:val="008508E1"/>
    <w:rsid w:val="00853376"/>
    <w:rsid w:val="0085423D"/>
    <w:rsid w:val="00855AEE"/>
    <w:rsid w:val="00857619"/>
    <w:rsid w:val="008579CD"/>
    <w:rsid w:val="008600AA"/>
    <w:rsid w:val="0086239C"/>
    <w:rsid w:val="00863246"/>
    <w:rsid w:val="00864818"/>
    <w:rsid w:val="008703B0"/>
    <w:rsid w:val="008758AB"/>
    <w:rsid w:val="00876AFC"/>
    <w:rsid w:val="00887045"/>
    <w:rsid w:val="00887BCE"/>
    <w:rsid w:val="00891AD9"/>
    <w:rsid w:val="008962A0"/>
    <w:rsid w:val="00896BB6"/>
    <w:rsid w:val="008A3CA0"/>
    <w:rsid w:val="008A3E93"/>
    <w:rsid w:val="008A45DC"/>
    <w:rsid w:val="008A7091"/>
    <w:rsid w:val="008B6C4F"/>
    <w:rsid w:val="008B744A"/>
    <w:rsid w:val="008B7D72"/>
    <w:rsid w:val="008C2D41"/>
    <w:rsid w:val="008C385D"/>
    <w:rsid w:val="008C4AFE"/>
    <w:rsid w:val="008C63E8"/>
    <w:rsid w:val="008D2B60"/>
    <w:rsid w:val="008D4CFD"/>
    <w:rsid w:val="008D6135"/>
    <w:rsid w:val="008E142C"/>
    <w:rsid w:val="008E7607"/>
    <w:rsid w:val="008F1CBC"/>
    <w:rsid w:val="008F2C17"/>
    <w:rsid w:val="008F480B"/>
    <w:rsid w:val="00902051"/>
    <w:rsid w:val="00903E77"/>
    <w:rsid w:val="00906D57"/>
    <w:rsid w:val="009105D6"/>
    <w:rsid w:val="00912DD7"/>
    <w:rsid w:val="0091564A"/>
    <w:rsid w:val="00915E89"/>
    <w:rsid w:val="00917171"/>
    <w:rsid w:val="009207B7"/>
    <w:rsid w:val="00921E7D"/>
    <w:rsid w:val="009227B0"/>
    <w:rsid w:val="009234BB"/>
    <w:rsid w:val="009242AD"/>
    <w:rsid w:val="00934A43"/>
    <w:rsid w:val="0093789F"/>
    <w:rsid w:val="00940F94"/>
    <w:rsid w:val="009438C0"/>
    <w:rsid w:val="00950217"/>
    <w:rsid w:val="00951C7A"/>
    <w:rsid w:val="0095386C"/>
    <w:rsid w:val="0095690F"/>
    <w:rsid w:val="00957764"/>
    <w:rsid w:val="00961A6B"/>
    <w:rsid w:val="00963012"/>
    <w:rsid w:val="009648BE"/>
    <w:rsid w:val="00971424"/>
    <w:rsid w:val="00971B91"/>
    <w:rsid w:val="00972AB8"/>
    <w:rsid w:val="00974D98"/>
    <w:rsid w:val="00975D1A"/>
    <w:rsid w:val="009819F0"/>
    <w:rsid w:val="00985462"/>
    <w:rsid w:val="00987B3F"/>
    <w:rsid w:val="00990482"/>
    <w:rsid w:val="00991E12"/>
    <w:rsid w:val="00993179"/>
    <w:rsid w:val="00993614"/>
    <w:rsid w:val="0099482C"/>
    <w:rsid w:val="00997E23"/>
    <w:rsid w:val="009A0B47"/>
    <w:rsid w:val="009A32BA"/>
    <w:rsid w:val="009A5019"/>
    <w:rsid w:val="009A5C32"/>
    <w:rsid w:val="009B044B"/>
    <w:rsid w:val="009B118E"/>
    <w:rsid w:val="009B1CE5"/>
    <w:rsid w:val="009B5CBA"/>
    <w:rsid w:val="009C37B9"/>
    <w:rsid w:val="009C5A5D"/>
    <w:rsid w:val="009C7312"/>
    <w:rsid w:val="009D0061"/>
    <w:rsid w:val="009D4411"/>
    <w:rsid w:val="009D475A"/>
    <w:rsid w:val="009D69C9"/>
    <w:rsid w:val="009D6C1E"/>
    <w:rsid w:val="009D71CD"/>
    <w:rsid w:val="009E14FC"/>
    <w:rsid w:val="009E4D29"/>
    <w:rsid w:val="009E731E"/>
    <w:rsid w:val="009E77B7"/>
    <w:rsid w:val="009F2C47"/>
    <w:rsid w:val="009F505A"/>
    <w:rsid w:val="009F5675"/>
    <w:rsid w:val="009F66BF"/>
    <w:rsid w:val="009F7209"/>
    <w:rsid w:val="00A01AC3"/>
    <w:rsid w:val="00A02255"/>
    <w:rsid w:val="00A04A91"/>
    <w:rsid w:val="00A04AE2"/>
    <w:rsid w:val="00A05C01"/>
    <w:rsid w:val="00A062F4"/>
    <w:rsid w:val="00A1001D"/>
    <w:rsid w:val="00A11940"/>
    <w:rsid w:val="00A119D5"/>
    <w:rsid w:val="00A12DCD"/>
    <w:rsid w:val="00A16AA6"/>
    <w:rsid w:val="00A2445E"/>
    <w:rsid w:val="00A245F3"/>
    <w:rsid w:val="00A30184"/>
    <w:rsid w:val="00A30E1E"/>
    <w:rsid w:val="00A33A17"/>
    <w:rsid w:val="00A347B6"/>
    <w:rsid w:val="00A35E6A"/>
    <w:rsid w:val="00A36C3D"/>
    <w:rsid w:val="00A42F27"/>
    <w:rsid w:val="00A431EC"/>
    <w:rsid w:val="00A43EB9"/>
    <w:rsid w:val="00A44B92"/>
    <w:rsid w:val="00A44BD0"/>
    <w:rsid w:val="00A46084"/>
    <w:rsid w:val="00A46F43"/>
    <w:rsid w:val="00A50A02"/>
    <w:rsid w:val="00A52C3C"/>
    <w:rsid w:val="00A54779"/>
    <w:rsid w:val="00A5555F"/>
    <w:rsid w:val="00A6131B"/>
    <w:rsid w:val="00A65C97"/>
    <w:rsid w:val="00A6640A"/>
    <w:rsid w:val="00A7432E"/>
    <w:rsid w:val="00A74DAA"/>
    <w:rsid w:val="00A77526"/>
    <w:rsid w:val="00A80E93"/>
    <w:rsid w:val="00A8174C"/>
    <w:rsid w:val="00A83048"/>
    <w:rsid w:val="00A85BAD"/>
    <w:rsid w:val="00A908E8"/>
    <w:rsid w:val="00A909D4"/>
    <w:rsid w:val="00A95C23"/>
    <w:rsid w:val="00A960CC"/>
    <w:rsid w:val="00A96A50"/>
    <w:rsid w:val="00A97898"/>
    <w:rsid w:val="00AA0372"/>
    <w:rsid w:val="00AA223F"/>
    <w:rsid w:val="00AA34BE"/>
    <w:rsid w:val="00AA64CA"/>
    <w:rsid w:val="00AB0F1B"/>
    <w:rsid w:val="00AB3DCB"/>
    <w:rsid w:val="00AB5A65"/>
    <w:rsid w:val="00AB5E28"/>
    <w:rsid w:val="00AB7B6D"/>
    <w:rsid w:val="00AC085D"/>
    <w:rsid w:val="00AC6F5A"/>
    <w:rsid w:val="00AD59A2"/>
    <w:rsid w:val="00AE003A"/>
    <w:rsid w:val="00AE01BC"/>
    <w:rsid w:val="00AE22EF"/>
    <w:rsid w:val="00AE411A"/>
    <w:rsid w:val="00AE4C76"/>
    <w:rsid w:val="00AE4E7E"/>
    <w:rsid w:val="00AE4E8A"/>
    <w:rsid w:val="00AE6C3C"/>
    <w:rsid w:val="00AF2818"/>
    <w:rsid w:val="00B00BFA"/>
    <w:rsid w:val="00B02104"/>
    <w:rsid w:val="00B021FF"/>
    <w:rsid w:val="00B0242F"/>
    <w:rsid w:val="00B0273A"/>
    <w:rsid w:val="00B06FC4"/>
    <w:rsid w:val="00B07330"/>
    <w:rsid w:val="00B07E11"/>
    <w:rsid w:val="00B10289"/>
    <w:rsid w:val="00B13E86"/>
    <w:rsid w:val="00B21F22"/>
    <w:rsid w:val="00B226DD"/>
    <w:rsid w:val="00B228AB"/>
    <w:rsid w:val="00B25094"/>
    <w:rsid w:val="00B26313"/>
    <w:rsid w:val="00B27CF0"/>
    <w:rsid w:val="00B27F74"/>
    <w:rsid w:val="00B3099F"/>
    <w:rsid w:val="00B3167A"/>
    <w:rsid w:val="00B31ACD"/>
    <w:rsid w:val="00B32B53"/>
    <w:rsid w:val="00B32C19"/>
    <w:rsid w:val="00B41DBB"/>
    <w:rsid w:val="00B433AA"/>
    <w:rsid w:val="00B4444F"/>
    <w:rsid w:val="00B47622"/>
    <w:rsid w:val="00B53DBC"/>
    <w:rsid w:val="00B555DA"/>
    <w:rsid w:val="00B60327"/>
    <w:rsid w:val="00B621B4"/>
    <w:rsid w:val="00B62733"/>
    <w:rsid w:val="00B6344B"/>
    <w:rsid w:val="00B634EE"/>
    <w:rsid w:val="00B646F3"/>
    <w:rsid w:val="00B65076"/>
    <w:rsid w:val="00B65CFB"/>
    <w:rsid w:val="00B71EC6"/>
    <w:rsid w:val="00B738B4"/>
    <w:rsid w:val="00B739AB"/>
    <w:rsid w:val="00B763A2"/>
    <w:rsid w:val="00B80BA3"/>
    <w:rsid w:val="00B80E90"/>
    <w:rsid w:val="00B84B14"/>
    <w:rsid w:val="00B93816"/>
    <w:rsid w:val="00B9495A"/>
    <w:rsid w:val="00BA1FC5"/>
    <w:rsid w:val="00BA6613"/>
    <w:rsid w:val="00BA711A"/>
    <w:rsid w:val="00BB0CF5"/>
    <w:rsid w:val="00BB24E9"/>
    <w:rsid w:val="00BB69D6"/>
    <w:rsid w:val="00BC0901"/>
    <w:rsid w:val="00BC3782"/>
    <w:rsid w:val="00BC51A5"/>
    <w:rsid w:val="00BC73FF"/>
    <w:rsid w:val="00BD3FC4"/>
    <w:rsid w:val="00BE29B7"/>
    <w:rsid w:val="00BE2AD5"/>
    <w:rsid w:val="00BE360E"/>
    <w:rsid w:val="00BE36AF"/>
    <w:rsid w:val="00BE66B4"/>
    <w:rsid w:val="00BE68A1"/>
    <w:rsid w:val="00BE6C51"/>
    <w:rsid w:val="00BF0B29"/>
    <w:rsid w:val="00BF5365"/>
    <w:rsid w:val="00BF5702"/>
    <w:rsid w:val="00BF62D8"/>
    <w:rsid w:val="00BF65D0"/>
    <w:rsid w:val="00C04326"/>
    <w:rsid w:val="00C11A1D"/>
    <w:rsid w:val="00C13F44"/>
    <w:rsid w:val="00C1672B"/>
    <w:rsid w:val="00C171FD"/>
    <w:rsid w:val="00C17385"/>
    <w:rsid w:val="00C1797F"/>
    <w:rsid w:val="00C2060A"/>
    <w:rsid w:val="00C2592A"/>
    <w:rsid w:val="00C26F5D"/>
    <w:rsid w:val="00C273D1"/>
    <w:rsid w:val="00C30415"/>
    <w:rsid w:val="00C321C6"/>
    <w:rsid w:val="00C349B1"/>
    <w:rsid w:val="00C36E29"/>
    <w:rsid w:val="00C40581"/>
    <w:rsid w:val="00C458F4"/>
    <w:rsid w:val="00C47CD2"/>
    <w:rsid w:val="00C53C28"/>
    <w:rsid w:val="00C54BE4"/>
    <w:rsid w:val="00C55D06"/>
    <w:rsid w:val="00C60660"/>
    <w:rsid w:val="00C612DC"/>
    <w:rsid w:val="00C63680"/>
    <w:rsid w:val="00C65D4B"/>
    <w:rsid w:val="00C66288"/>
    <w:rsid w:val="00C672BE"/>
    <w:rsid w:val="00C67828"/>
    <w:rsid w:val="00C70275"/>
    <w:rsid w:val="00C72E5E"/>
    <w:rsid w:val="00C76FB1"/>
    <w:rsid w:val="00C77F3A"/>
    <w:rsid w:val="00C77FEC"/>
    <w:rsid w:val="00C84633"/>
    <w:rsid w:val="00C86222"/>
    <w:rsid w:val="00C91839"/>
    <w:rsid w:val="00C93B5C"/>
    <w:rsid w:val="00C95FF8"/>
    <w:rsid w:val="00C97B64"/>
    <w:rsid w:val="00CA25AF"/>
    <w:rsid w:val="00CB38EC"/>
    <w:rsid w:val="00CB6126"/>
    <w:rsid w:val="00CC1781"/>
    <w:rsid w:val="00CC3AFA"/>
    <w:rsid w:val="00CC4D8D"/>
    <w:rsid w:val="00CC4E82"/>
    <w:rsid w:val="00CC6023"/>
    <w:rsid w:val="00CC707C"/>
    <w:rsid w:val="00CD0E4E"/>
    <w:rsid w:val="00CD3E4C"/>
    <w:rsid w:val="00CD4AB9"/>
    <w:rsid w:val="00CD5C4E"/>
    <w:rsid w:val="00CD7BE0"/>
    <w:rsid w:val="00CE3C14"/>
    <w:rsid w:val="00CE7EAE"/>
    <w:rsid w:val="00CF5DCE"/>
    <w:rsid w:val="00D0105A"/>
    <w:rsid w:val="00D010EC"/>
    <w:rsid w:val="00D01798"/>
    <w:rsid w:val="00D039D9"/>
    <w:rsid w:val="00D064BA"/>
    <w:rsid w:val="00D100D9"/>
    <w:rsid w:val="00D105A6"/>
    <w:rsid w:val="00D11852"/>
    <w:rsid w:val="00D15E23"/>
    <w:rsid w:val="00D16E74"/>
    <w:rsid w:val="00D223D7"/>
    <w:rsid w:val="00D24008"/>
    <w:rsid w:val="00D273E1"/>
    <w:rsid w:val="00D27B9C"/>
    <w:rsid w:val="00D310C3"/>
    <w:rsid w:val="00D3113E"/>
    <w:rsid w:val="00D317EB"/>
    <w:rsid w:val="00D31C88"/>
    <w:rsid w:val="00D325C4"/>
    <w:rsid w:val="00D33CC4"/>
    <w:rsid w:val="00D40629"/>
    <w:rsid w:val="00D43052"/>
    <w:rsid w:val="00D47A3D"/>
    <w:rsid w:val="00D5279A"/>
    <w:rsid w:val="00D52F8B"/>
    <w:rsid w:val="00D533C0"/>
    <w:rsid w:val="00D55D8E"/>
    <w:rsid w:val="00D57BD1"/>
    <w:rsid w:val="00D6130E"/>
    <w:rsid w:val="00D6469D"/>
    <w:rsid w:val="00D7046B"/>
    <w:rsid w:val="00D738EE"/>
    <w:rsid w:val="00D75A53"/>
    <w:rsid w:val="00D77B50"/>
    <w:rsid w:val="00D83BCB"/>
    <w:rsid w:val="00D84A07"/>
    <w:rsid w:val="00D923BB"/>
    <w:rsid w:val="00D95277"/>
    <w:rsid w:val="00D979C3"/>
    <w:rsid w:val="00DA0D3D"/>
    <w:rsid w:val="00DA6044"/>
    <w:rsid w:val="00DB39F9"/>
    <w:rsid w:val="00DB5AEC"/>
    <w:rsid w:val="00DC15CB"/>
    <w:rsid w:val="00DC2F8A"/>
    <w:rsid w:val="00DC40B3"/>
    <w:rsid w:val="00DC6AC0"/>
    <w:rsid w:val="00DD1A05"/>
    <w:rsid w:val="00DD2092"/>
    <w:rsid w:val="00DD3445"/>
    <w:rsid w:val="00DD452B"/>
    <w:rsid w:val="00DD77DE"/>
    <w:rsid w:val="00DE0498"/>
    <w:rsid w:val="00DE06FA"/>
    <w:rsid w:val="00DE08EF"/>
    <w:rsid w:val="00DE2A2B"/>
    <w:rsid w:val="00DE6639"/>
    <w:rsid w:val="00DF0A73"/>
    <w:rsid w:val="00DF1640"/>
    <w:rsid w:val="00DF2F8A"/>
    <w:rsid w:val="00DF3246"/>
    <w:rsid w:val="00DF6867"/>
    <w:rsid w:val="00E025D0"/>
    <w:rsid w:val="00E03470"/>
    <w:rsid w:val="00E04191"/>
    <w:rsid w:val="00E16407"/>
    <w:rsid w:val="00E21D29"/>
    <w:rsid w:val="00E23C22"/>
    <w:rsid w:val="00E24321"/>
    <w:rsid w:val="00E25505"/>
    <w:rsid w:val="00E25746"/>
    <w:rsid w:val="00E322A7"/>
    <w:rsid w:val="00E33CA2"/>
    <w:rsid w:val="00E35EB0"/>
    <w:rsid w:val="00E36553"/>
    <w:rsid w:val="00E3769C"/>
    <w:rsid w:val="00E40208"/>
    <w:rsid w:val="00E4172C"/>
    <w:rsid w:val="00E41B9D"/>
    <w:rsid w:val="00E50DF4"/>
    <w:rsid w:val="00E536BA"/>
    <w:rsid w:val="00E53A91"/>
    <w:rsid w:val="00E5469B"/>
    <w:rsid w:val="00E548B8"/>
    <w:rsid w:val="00E55A76"/>
    <w:rsid w:val="00E55D7A"/>
    <w:rsid w:val="00E56853"/>
    <w:rsid w:val="00E577C9"/>
    <w:rsid w:val="00E57C34"/>
    <w:rsid w:val="00E605E6"/>
    <w:rsid w:val="00E61F5A"/>
    <w:rsid w:val="00E629A9"/>
    <w:rsid w:val="00E6301D"/>
    <w:rsid w:val="00E64725"/>
    <w:rsid w:val="00E6627D"/>
    <w:rsid w:val="00E66432"/>
    <w:rsid w:val="00E66591"/>
    <w:rsid w:val="00E72755"/>
    <w:rsid w:val="00E73097"/>
    <w:rsid w:val="00E747D4"/>
    <w:rsid w:val="00E7684F"/>
    <w:rsid w:val="00E8138C"/>
    <w:rsid w:val="00E84FE4"/>
    <w:rsid w:val="00E85FE7"/>
    <w:rsid w:val="00E90A25"/>
    <w:rsid w:val="00E931EC"/>
    <w:rsid w:val="00E94A48"/>
    <w:rsid w:val="00E9546D"/>
    <w:rsid w:val="00EA2081"/>
    <w:rsid w:val="00EA3C44"/>
    <w:rsid w:val="00EA7652"/>
    <w:rsid w:val="00EB2F04"/>
    <w:rsid w:val="00EB5578"/>
    <w:rsid w:val="00EB69DA"/>
    <w:rsid w:val="00EC1043"/>
    <w:rsid w:val="00EC1064"/>
    <w:rsid w:val="00EC16DF"/>
    <w:rsid w:val="00EC369A"/>
    <w:rsid w:val="00EC3886"/>
    <w:rsid w:val="00EC6471"/>
    <w:rsid w:val="00ED616D"/>
    <w:rsid w:val="00EE3F4B"/>
    <w:rsid w:val="00EE58BA"/>
    <w:rsid w:val="00EE7AF8"/>
    <w:rsid w:val="00EF0EC4"/>
    <w:rsid w:val="00EF24D5"/>
    <w:rsid w:val="00EF4AF3"/>
    <w:rsid w:val="00F03D56"/>
    <w:rsid w:val="00F051B4"/>
    <w:rsid w:val="00F05CC2"/>
    <w:rsid w:val="00F0690C"/>
    <w:rsid w:val="00F1036A"/>
    <w:rsid w:val="00F1145E"/>
    <w:rsid w:val="00F118D9"/>
    <w:rsid w:val="00F175CE"/>
    <w:rsid w:val="00F176D8"/>
    <w:rsid w:val="00F23A43"/>
    <w:rsid w:val="00F2456B"/>
    <w:rsid w:val="00F3016B"/>
    <w:rsid w:val="00F410F1"/>
    <w:rsid w:val="00F46066"/>
    <w:rsid w:val="00F4641F"/>
    <w:rsid w:val="00F47968"/>
    <w:rsid w:val="00F51A48"/>
    <w:rsid w:val="00F52639"/>
    <w:rsid w:val="00F534BF"/>
    <w:rsid w:val="00F604A6"/>
    <w:rsid w:val="00F60A9A"/>
    <w:rsid w:val="00F62A11"/>
    <w:rsid w:val="00F63498"/>
    <w:rsid w:val="00F6382F"/>
    <w:rsid w:val="00F63EB0"/>
    <w:rsid w:val="00F651AF"/>
    <w:rsid w:val="00F7195D"/>
    <w:rsid w:val="00F72440"/>
    <w:rsid w:val="00F735CC"/>
    <w:rsid w:val="00F76C4C"/>
    <w:rsid w:val="00F828C9"/>
    <w:rsid w:val="00F8597C"/>
    <w:rsid w:val="00F862B4"/>
    <w:rsid w:val="00F86E26"/>
    <w:rsid w:val="00F86ED6"/>
    <w:rsid w:val="00FA04EB"/>
    <w:rsid w:val="00FA1D82"/>
    <w:rsid w:val="00FA3457"/>
    <w:rsid w:val="00FA6B63"/>
    <w:rsid w:val="00FA729F"/>
    <w:rsid w:val="00FA76D4"/>
    <w:rsid w:val="00FA7A08"/>
    <w:rsid w:val="00FB5B79"/>
    <w:rsid w:val="00FC14D0"/>
    <w:rsid w:val="00FC3A0E"/>
    <w:rsid w:val="00FC3F15"/>
    <w:rsid w:val="00FC4F97"/>
    <w:rsid w:val="00FC6D18"/>
    <w:rsid w:val="00FD275E"/>
    <w:rsid w:val="00FD31D6"/>
    <w:rsid w:val="00FD3D42"/>
    <w:rsid w:val="00FD65A4"/>
    <w:rsid w:val="00FE012B"/>
    <w:rsid w:val="00FE107C"/>
    <w:rsid w:val="00FE20B4"/>
    <w:rsid w:val="00FE43E3"/>
    <w:rsid w:val="00FE455C"/>
    <w:rsid w:val="00FF3E8B"/>
    <w:rsid w:val="00FF4481"/>
    <w:rsid w:val="00FF5B6D"/>
    <w:rsid w:val="00FF755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4D177FD8"/>
  <w15:docId w15:val="{02344883-7E24-44A3-A3E5-936CFDAD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rutiger Next for EVN Light" w:eastAsia="Frutiger Next for EVN Light" w:hAnsi="Frutiger Next for EVN Light"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CC2"/>
    <w:pPr>
      <w:spacing w:line="280" w:lineRule="exact"/>
    </w:pPr>
    <w:rPr>
      <w:spacing w:val="4"/>
      <w:sz w:val="19"/>
      <w:szCs w:val="19"/>
      <w:lang w:eastAsia="de-AT"/>
    </w:rPr>
  </w:style>
  <w:style w:type="paragraph" w:styleId="Heading1">
    <w:name w:val="heading 1"/>
    <w:aliases w:val="EVN Header 1"/>
    <w:basedOn w:val="Normal"/>
    <w:next w:val="Normal"/>
    <w:link w:val="Heading1Char"/>
    <w:qFormat/>
    <w:rsid w:val="008B6C4F"/>
    <w:pPr>
      <w:keepNext/>
      <w:keepLines/>
      <w:numPr>
        <w:numId w:val="1"/>
      </w:numPr>
      <w:tabs>
        <w:tab w:val="left" w:pos="369"/>
      </w:tabs>
      <w:spacing w:before="120" w:after="120" w:line="240" w:lineRule="exact"/>
      <w:outlineLvl w:val="0"/>
    </w:pPr>
    <w:rPr>
      <w:rFonts w:eastAsia="Times New Roman"/>
      <w:b/>
      <w:bCs/>
      <w:color w:val="000000"/>
      <w:szCs w:val="28"/>
    </w:rPr>
  </w:style>
  <w:style w:type="paragraph" w:styleId="Heading2">
    <w:name w:val="heading 2"/>
    <w:aliases w:val="EVN Header 2"/>
    <w:basedOn w:val="Normal"/>
    <w:next w:val="Normal"/>
    <w:link w:val="Heading2Char"/>
    <w:unhideWhenUsed/>
    <w:qFormat/>
    <w:rsid w:val="00EC16DF"/>
    <w:pPr>
      <w:keepNext/>
      <w:keepLines/>
      <w:numPr>
        <w:ilvl w:val="1"/>
        <w:numId w:val="1"/>
      </w:numPr>
      <w:tabs>
        <w:tab w:val="left" w:pos="567"/>
      </w:tabs>
      <w:spacing w:before="60" w:after="60"/>
      <w:outlineLvl w:val="1"/>
    </w:pPr>
    <w:rPr>
      <w:rFonts w:eastAsia="Times New Roman"/>
      <w:b/>
      <w:bCs/>
      <w:color w:val="8C8C8C"/>
      <w:szCs w:val="26"/>
    </w:rPr>
  </w:style>
  <w:style w:type="paragraph" w:styleId="Heading3">
    <w:name w:val="heading 3"/>
    <w:aliases w:val="EVN Header 3"/>
    <w:basedOn w:val="Normal"/>
    <w:next w:val="Normal"/>
    <w:link w:val="Heading3Char"/>
    <w:unhideWhenUsed/>
    <w:qFormat/>
    <w:rsid w:val="00EC16DF"/>
    <w:pPr>
      <w:keepNext/>
      <w:numPr>
        <w:ilvl w:val="2"/>
        <w:numId w:val="1"/>
      </w:numPr>
      <w:tabs>
        <w:tab w:val="left" w:pos="709"/>
      </w:tabs>
      <w:spacing w:before="60" w:after="60" w:line="240" w:lineRule="exact"/>
      <w:outlineLvl w:val="2"/>
    </w:pPr>
    <w:rPr>
      <w:rFonts w:eastAsia="Times New Roman"/>
      <w:bCs/>
      <w:color w:val="000000"/>
      <w:szCs w:val="26"/>
    </w:rPr>
  </w:style>
  <w:style w:type="paragraph" w:styleId="Heading4">
    <w:name w:val="heading 4"/>
    <w:aliases w:val="EVN Header 4"/>
    <w:basedOn w:val="Normal"/>
    <w:next w:val="Normal"/>
    <w:link w:val="Heading4Char"/>
    <w:unhideWhenUsed/>
    <w:qFormat/>
    <w:rsid w:val="00665312"/>
    <w:pPr>
      <w:keepNext/>
      <w:numPr>
        <w:ilvl w:val="3"/>
        <w:numId w:val="1"/>
      </w:numPr>
      <w:tabs>
        <w:tab w:val="left" w:pos="851"/>
      </w:tabs>
      <w:spacing w:before="60" w:after="60" w:line="240" w:lineRule="exact"/>
      <w:ind w:left="851" w:hanging="851"/>
      <w:outlineLvl w:val="3"/>
    </w:pPr>
    <w:rPr>
      <w:rFonts w:eastAsia="Times New Roman"/>
      <w:bCs/>
      <w:color w:val="000000"/>
      <w:szCs w:val="28"/>
    </w:rPr>
  </w:style>
  <w:style w:type="paragraph" w:styleId="Heading5">
    <w:name w:val="heading 5"/>
    <w:aliases w:val="EVN Header 5"/>
    <w:basedOn w:val="Normal"/>
    <w:next w:val="Normal"/>
    <w:link w:val="Heading5Char"/>
    <w:unhideWhenUsed/>
    <w:qFormat/>
    <w:rsid w:val="00EC16DF"/>
    <w:pPr>
      <w:numPr>
        <w:ilvl w:val="4"/>
        <w:numId w:val="1"/>
      </w:numPr>
      <w:tabs>
        <w:tab w:val="left" w:pos="992"/>
      </w:tabs>
      <w:spacing w:before="60" w:after="60" w:line="240" w:lineRule="exact"/>
      <w:ind w:left="992" w:hanging="992"/>
      <w:outlineLvl w:val="4"/>
    </w:pPr>
    <w:rPr>
      <w:rFonts w:eastAsia="Times New Roman"/>
      <w:bCs/>
      <w:iCs/>
      <w:color w:val="000000"/>
      <w:szCs w:val="26"/>
    </w:rPr>
  </w:style>
  <w:style w:type="paragraph" w:styleId="Heading6">
    <w:name w:val="heading 6"/>
    <w:basedOn w:val="Normal"/>
    <w:next w:val="Normal"/>
    <w:link w:val="Heading6Char"/>
    <w:unhideWhenUsed/>
    <w:qFormat/>
    <w:rsid w:val="009A0B47"/>
    <w:pPr>
      <w:numPr>
        <w:ilvl w:val="5"/>
        <w:numId w:val="1"/>
      </w:numPr>
      <w:spacing w:before="240" w:after="60"/>
      <w:outlineLvl w:val="5"/>
    </w:pPr>
    <w:rPr>
      <w:rFonts w:eastAsia="Times New Roman"/>
      <w:b/>
      <w:bCs/>
      <w:sz w:val="22"/>
    </w:rPr>
  </w:style>
  <w:style w:type="paragraph" w:styleId="Heading7">
    <w:name w:val="heading 7"/>
    <w:basedOn w:val="Normal"/>
    <w:next w:val="Normal"/>
    <w:link w:val="Heading7Char"/>
    <w:unhideWhenUsed/>
    <w:qFormat/>
    <w:rsid w:val="009A0B47"/>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nhideWhenUsed/>
    <w:qFormat/>
    <w:rsid w:val="009A0B47"/>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nhideWhenUsed/>
    <w:qFormat/>
    <w:rsid w:val="009A0B47"/>
    <w:pPr>
      <w:numPr>
        <w:ilvl w:val="8"/>
        <w:numId w:val="1"/>
      </w:numPr>
      <w:spacing w:before="240" w:after="60"/>
      <w:outlineLvl w:val="8"/>
    </w:pPr>
    <w:rPr>
      <w:rFonts w:eastAsia="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VN Header 1 Char"/>
    <w:link w:val="Heading1"/>
    <w:rsid w:val="008B6C4F"/>
    <w:rPr>
      <w:rFonts w:eastAsia="Times New Roman"/>
      <w:b/>
      <w:bCs/>
      <w:color w:val="000000"/>
      <w:spacing w:val="4"/>
      <w:sz w:val="19"/>
      <w:szCs w:val="28"/>
      <w:lang w:eastAsia="de-AT"/>
    </w:rPr>
  </w:style>
  <w:style w:type="character" w:customStyle="1" w:styleId="Heading2Char">
    <w:name w:val="Heading 2 Char"/>
    <w:aliases w:val="EVN Header 2 Char"/>
    <w:link w:val="Heading2"/>
    <w:rsid w:val="00EC16DF"/>
    <w:rPr>
      <w:rFonts w:eastAsia="Times New Roman"/>
      <w:b/>
      <w:bCs/>
      <w:color w:val="8C8C8C"/>
      <w:spacing w:val="4"/>
      <w:sz w:val="19"/>
      <w:szCs w:val="26"/>
      <w:lang w:eastAsia="de-AT"/>
    </w:rPr>
  </w:style>
  <w:style w:type="paragraph" w:styleId="BalloonText">
    <w:name w:val="Balloon Text"/>
    <w:basedOn w:val="Normal"/>
    <w:link w:val="BalloonTextChar"/>
    <w:unhideWhenUsed/>
    <w:rsid w:val="00FF5B6D"/>
    <w:rPr>
      <w:rFonts w:ascii="Tahoma" w:hAnsi="Tahoma" w:cs="Tahoma"/>
      <w:sz w:val="16"/>
      <w:szCs w:val="16"/>
    </w:rPr>
  </w:style>
  <w:style w:type="character" w:customStyle="1" w:styleId="BalloonTextChar">
    <w:name w:val="Balloon Text Char"/>
    <w:link w:val="BalloonText"/>
    <w:rsid w:val="00FF5B6D"/>
    <w:rPr>
      <w:rFonts w:ascii="Tahoma" w:hAnsi="Tahoma" w:cs="Tahoma"/>
      <w:sz w:val="16"/>
      <w:szCs w:val="16"/>
    </w:rPr>
  </w:style>
  <w:style w:type="paragraph" w:styleId="Title">
    <w:name w:val="Title"/>
    <w:aliases w:val="EVN Title"/>
    <w:basedOn w:val="Normal"/>
    <w:next w:val="Normal"/>
    <w:link w:val="TitleChar"/>
    <w:qFormat/>
    <w:rsid w:val="00225F24"/>
    <w:pPr>
      <w:spacing w:after="240" w:line="600" w:lineRule="exact"/>
      <w:outlineLvl w:val="0"/>
    </w:pPr>
    <w:rPr>
      <w:rFonts w:eastAsia="Times New Roman"/>
      <w:bCs/>
      <w:color w:val="8C8C8C"/>
      <w:kern w:val="28"/>
      <w:sz w:val="56"/>
      <w:szCs w:val="32"/>
    </w:rPr>
  </w:style>
  <w:style w:type="character" w:customStyle="1" w:styleId="TitleChar">
    <w:name w:val="Title Char"/>
    <w:aliases w:val="EVN Title Char"/>
    <w:link w:val="Title"/>
    <w:uiPriority w:val="10"/>
    <w:rsid w:val="00225F24"/>
    <w:rPr>
      <w:rFonts w:eastAsia="Times New Roman"/>
      <w:bCs/>
      <w:color w:val="8C8C8C"/>
      <w:spacing w:val="4"/>
      <w:kern w:val="28"/>
      <w:sz w:val="56"/>
      <w:szCs w:val="32"/>
      <w:lang w:eastAsia="de-AT"/>
    </w:rPr>
  </w:style>
  <w:style w:type="character" w:customStyle="1" w:styleId="Heading3Char">
    <w:name w:val="Heading 3 Char"/>
    <w:aliases w:val="EVN Header 3 Char"/>
    <w:link w:val="Heading3"/>
    <w:rsid w:val="00EC16DF"/>
    <w:rPr>
      <w:rFonts w:eastAsia="Times New Roman"/>
      <w:bCs/>
      <w:color w:val="000000"/>
      <w:spacing w:val="4"/>
      <w:sz w:val="19"/>
      <w:szCs w:val="26"/>
      <w:lang w:eastAsia="de-AT"/>
    </w:rPr>
  </w:style>
  <w:style w:type="character" w:customStyle="1" w:styleId="Heading4Char">
    <w:name w:val="Heading 4 Char"/>
    <w:aliases w:val="EVN Header 4 Char"/>
    <w:link w:val="Heading4"/>
    <w:rsid w:val="00665312"/>
    <w:rPr>
      <w:rFonts w:eastAsia="Times New Roman"/>
      <w:bCs/>
      <w:color w:val="000000"/>
      <w:spacing w:val="4"/>
      <w:sz w:val="19"/>
      <w:szCs w:val="28"/>
      <w:lang w:eastAsia="de-AT"/>
    </w:rPr>
  </w:style>
  <w:style w:type="character" w:customStyle="1" w:styleId="Heading5Char">
    <w:name w:val="Heading 5 Char"/>
    <w:aliases w:val="EVN Header 5 Char"/>
    <w:link w:val="Heading5"/>
    <w:rsid w:val="00EC16DF"/>
    <w:rPr>
      <w:rFonts w:eastAsia="Times New Roman"/>
      <w:bCs/>
      <w:iCs/>
      <w:color w:val="000000"/>
      <w:spacing w:val="4"/>
      <w:sz w:val="19"/>
      <w:szCs w:val="26"/>
      <w:lang w:eastAsia="de-AT"/>
    </w:rPr>
  </w:style>
  <w:style w:type="character" w:customStyle="1" w:styleId="Heading6Char">
    <w:name w:val="Heading 6 Char"/>
    <w:link w:val="Heading6"/>
    <w:rsid w:val="009A0B47"/>
    <w:rPr>
      <w:rFonts w:eastAsia="Times New Roman"/>
      <w:b/>
      <w:bCs/>
      <w:spacing w:val="4"/>
      <w:sz w:val="22"/>
      <w:szCs w:val="19"/>
      <w:lang w:eastAsia="de-AT"/>
    </w:rPr>
  </w:style>
  <w:style w:type="character" w:customStyle="1" w:styleId="Heading7Char">
    <w:name w:val="Heading 7 Char"/>
    <w:link w:val="Heading7"/>
    <w:rsid w:val="009A0B47"/>
    <w:rPr>
      <w:rFonts w:eastAsia="Times New Roman"/>
      <w:spacing w:val="4"/>
      <w:sz w:val="24"/>
      <w:szCs w:val="24"/>
      <w:lang w:eastAsia="de-AT"/>
    </w:rPr>
  </w:style>
  <w:style w:type="character" w:customStyle="1" w:styleId="Heading8Char">
    <w:name w:val="Heading 8 Char"/>
    <w:link w:val="Heading8"/>
    <w:rsid w:val="009A0B47"/>
    <w:rPr>
      <w:rFonts w:eastAsia="Times New Roman"/>
      <w:i/>
      <w:iCs/>
      <w:spacing w:val="4"/>
      <w:sz w:val="24"/>
      <w:szCs w:val="24"/>
      <w:lang w:eastAsia="de-AT"/>
    </w:rPr>
  </w:style>
  <w:style w:type="character" w:customStyle="1" w:styleId="Heading9Char">
    <w:name w:val="Heading 9 Char"/>
    <w:link w:val="Heading9"/>
    <w:rsid w:val="009A0B47"/>
    <w:rPr>
      <w:rFonts w:eastAsia="Times New Roman"/>
      <w:spacing w:val="4"/>
      <w:sz w:val="22"/>
      <w:szCs w:val="19"/>
      <w:lang w:eastAsia="de-AT"/>
    </w:rPr>
  </w:style>
  <w:style w:type="character" w:styleId="Emphasis">
    <w:name w:val="Emphasis"/>
    <w:aliases w:val="EVN Highlighting"/>
    <w:uiPriority w:val="20"/>
    <w:qFormat/>
    <w:rsid w:val="00665312"/>
    <w:rPr>
      <w:rFonts w:ascii="Frutiger Next for EVN Light" w:hAnsi="Frutiger Next for EVN Light"/>
      <w:b/>
      <w:i w:val="0"/>
      <w:iCs/>
      <w:color w:val="000000"/>
      <w:spacing w:val="4"/>
      <w:sz w:val="19"/>
    </w:rPr>
  </w:style>
  <w:style w:type="numbering" w:customStyle="1" w:styleId="EVNList">
    <w:name w:val="EVN List"/>
    <w:uiPriority w:val="99"/>
    <w:rsid w:val="00A77526"/>
    <w:pPr>
      <w:numPr>
        <w:numId w:val="4"/>
      </w:numPr>
    </w:pPr>
  </w:style>
  <w:style w:type="character" w:styleId="IntenseReference">
    <w:name w:val="Intense Reference"/>
    <w:uiPriority w:val="32"/>
    <w:rsid w:val="009A0B47"/>
    <w:rPr>
      <w:b/>
      <w:bCs/>
      <w:smallCaps/>
      <w:color w:val="8C8C8C"/>
      <w:spacing w:val="5"/>
      <w:u w:val="single"/>
    </w:rPr>
  </w:style>
  <w:style w:type="character" w:styleId="BookTitle">
    <w:name w:val="Book Title"/>
    <w:uiPriority w:val="33"/>
    <w:rsid w:val="009A0B47"/>
    <w:rPr>
      <w:b/>
      <w:bCs/>
      <w:smallCaps/>
      <w:spacing w:val="5"/>
    </w:rPr>
  </w:style>
  <w:style w:type="paragraph" w:customStyle="1" w:styleId="EVNBulletPoints1">
    <w:name w:val="EVN Bullet Points 1"/>
    <w:basedOn w:val="Normal"/>
    <w:link w:val="EVNBulletPoints1Char"/>
    <w:qFormat/>
    <w:rsid w:val="004D4CE0"/>
    <w:pPr>
      <w:numPr>
        <w:numId w:val="2"/>
      </w:numPr>
      <w:ind w:left="255" w:hanging="255"/>
    </w:pPr>
  </w:style>
  <w:style w:type="paragraph" w:customStyle="1" w:styleId="EVNBulletPoints2">
    <w:name w:val="EVN Bullet Points 2"/>
    <w:basedOn w:val="EVNBulletPoints1"/>
    <w:link w:val="EVNBulletPoints2Char"/>
    <w:qFormat/>
    <w:rsid w:val="00E55A76"/>
    <w:pPr>
      <w:numPr>
        <w:numId w:val="3"/>
      </w:numPr>
    </w:pPr>
  </w:style>
  <w:style w:type="paragraph" w:styleId="Header">
    <w:name w:val="header"/>
    <w:basedOn w:val="Normal"/>
    <w:link w:val="HeaderChar"/>
    <w:unhideWhenUsed/>
    <w:rsid w:val="00A97898"/>
    <w:pPr>
      <w:tabs>
        <w:tab w:val="center" w:pos="4536"/>
        <w:tab w:val="right" w:pos="9072"/>
      </w:tabs>
    </w:pPr>
  </w:style>
  <w:style w:type="character" w:customStyle="1" w:styleId="HeaderChar">
    <w:name w:val="Header Char"/>
    <w:basedOn w:val="DefaultParagraphFont"/>
    <w:link w:val="Header"/>
    <w:rsid w:val="00A97898"/>
    <w:rPr>
      <w:spacing w:val="4"/>
      <w:sz w:val="19"/>
      <w:szCs w:val="19"/>
      <w:lang w:val="de-AT" w:eastAsia="de-AT"/>
    </w:rPr>
  </w:style>
  <w:style w:type="paragraph" w:styleId="Footer">
    <w:name w:val="footer"/>
    <w:basedOn w:val="Normal"/>
    <w:link w:val="FooterChar"/>
    <w:unhideWhenUsed/>
    <w:rsid w:val="00A97898"/>
    <w:pPr>
      <w:tabs>
        <w:tab w:val="center" w:pos="4536"/>
        <w:tab w:val="right" w:pos="9072"/>
      </w:tabs>
    </w:pPr>
  </w:style>
  <w:style w:type="character" w:customStyle="1" w:styleId="FooterChar">
    <w:name w:val="Footer Char"/>
    <w:basedOn w:val="DefaultParagraphFont"/>
    <w:link w:val="Footer"/>
    <w:rsid w:val="00A97898"/>
    <w:rPr>
      <w:spacing w:val="4"/>
      <w:sz w:val="19"/>
      <w:szCs w:val="19"/>
      <w:lang w:val="de-AT" w:eastAsia="de-AT"/>
    </w:rPr>
  </w:style>
  <w:style w:type="paragraph" w:customStyle="1" w:styleId="EVNSubtitle">
    <w:name w:val="EVN Subtitle"/>
    <w:basedOn w:val="Normal"/>
    <w:next w:val="Normal"/>
    <w:qFormat/>
    <w:rsid w:val="00EC16DF"/>
    <w:rPr>
      <w:b/>
      <w:sz w:val="24"/>
    </w:rPr>
  </w:style>
  <w:style w:type="paragraph" w:styleId="TOC2">
    <w:name w:val="toc 2"/>
    <w:basedOn w:val="Normal"/>
    <w:next w:val="Normal"/>
    <w:autoRedefine/>
    <w:uiPriority w:val="39"/>
    <w:unhideWhenUsed/>
    <w:rsid w:val="00BE6C51"/>
    <w:pPr>
      <w:spacing w:after="100"/>
      <w:ind w:left="190"/>
    </w:pPr>
  </w:style>
  <w:style w:type="paragraph" w:styleId="TOC1">
    <w:name w:val="toc 1"/>
    <w:basedOn w:val="Normal"/>
    <w:next w:val="Normal"/>
    <w:autoRedefine/>
    <w:uiPriority w:val="39"/>
    <w:unhideWhenUsed/>
    <w:rsid w:val="00BE6C51"/>
    <w:pPr>
      <w:spacing w:after="100"/>
    </w:pPr>
  </w:style>
  <w:style w:type="paragraph" w:styleId="TOC3">
    <w:name w:val="toc 3"/>
    <w:basedOn w:val="Normal"/>
    <w:next w:val="Normal"/>
    <w:autoRedefine/>
    <w:uiPriority w:val="39"/>
    <w:unhideWhenUsed/>
    <w:rsid w:val="00BE6C51"/>
    <w:pPr>
      <w:spacing w:after="100"/>
      <w:ind w:left="380"/>
    </w:pPr>
  </w:style>
  <w:style w:type="character" w:styleId="Hyperlink">
    <w:name w:val="Hyperlink"/>
    <w:basedOn w:val="DefaultParagraphFont"/>
    <w:uiPriority w:val="99"/>
    <w:unhideWhenUsed/>
    <w:rsid w:val="00BE6C51"/>
    <w:rPr>
      <w:color w:val="0070C0" w:themeColor="hyperlink"/>
      <w:u w:val="single"/>
    </w:rPr>
  </w:style>
  <w:style w:type="paragraph" w:customStyle="1" w:styleId="EVNBulletPoints3">
    <w:name w:val="EVN Bullet Points 3"/>
    <w:basedOn w:val="EVNBulletPoints2"/>
    <w:link w:val="EVNBulletPoints3Char"/>
    <w:qFormat/>
    <w:rsid w:val="00420058"/>
    <w:pPr>
      <w:numPr>
        <w:numId w:val="5"/>
      </w:numPr>
      <w:ind w:left="357" w:hanging="357"/>
    </w:pPr>
    <w:rPr>
      <w:lang w:val="en-US"/>
    </w:rPr>
  </w:style>
  <w:style w:type="paragraph" w:customStyle="1" w:styleId="EVNTitle2">
    <w:name w:val="EVN Title 2"/>
    <w:basedOn w:val="Title"/>
    <w:link w:val="EVNTitle2Char"/>
    <w:qFormat/>
    <w:rsid w:val="00420058"/>
    <w:rPr>
      <w:color w:val="E0001B"/>
    </w:rPr>
  </w:style>
  <w:style w:type="character" w:customStyle="1" w:styleId="EVNBulletPoints1Char">
    <w:name w:val="EVN Bullet Points 1 Char"/>
    <w:basedOn w:val="DefaultParagraphFont"/>
    <w:link w:val="EVNBulletPoints1"/>
    <w:rsid w:val="00420058"/>
    <w:rPr>
      <w:spacing w:val="4"/>
      <w:sz w:val="19"/>
      <w:szCs w:val="19"/>
      <w:lang w:eastAsia="de-AT"/>
    </w:rPr>
  </w:style>
  <w:style w:type="character" w:customStyle="1" w:styleId="EVNBulletPoints2Char">
    <w:name w:val="EVN Bullet Points 2 Char"/>
    <w:basedOn w:val="EVNBulletPoints1Char"/>
    <w:link w:val="EVNBulletPoints2"/>
    <w:rsid w:val="00420058"/>
    <w:rPr>
      <w:spacing w:val="4"/>
      <w:sz w:val="19"/>
      <w:szCs w:val="19"/>
      <w:lang w:eastAsia="de-AT"/>
    </w:rPr>
  </w:style>
  <w:style w:type="character" w:customStyle="1" w:styleId="EVNBulletPoints3Char">
    <w:name w:val="EVN Bullet Points 3 Char"/>
    <w:basedOn w:val="EVNBulletPoints2Char"/>
    <w:link w:val="EVNBulletPoints3"/>
    <w:rsid w:val="00420058"/>
    <w:rPr>
      <w:spacing w:val="4"/>
      <w:sz w:val="19"/>
      <w:szCs w:val="19"/>
      <w:lang w:val="en-US" w:eastAsia="de-AT"/>
    </w:rPr>
  </w:style>
  <w:style w:type="character" w:customStyle="1" w:styleId="EVNTitle2Char">
    <w:name w:val="EVN Title 2 Char"/>
    <w:basedOn w:val="TitleChar"/>
    <w:link w:val="EVNTitle2"/>
    <w:rsid w:val="00420058"/>
    <w:rPr>
      <w:rFonts w:eastAsia="Times New Roman"/>
      <w:bCs/>
      <w:color w:val="E0001B"/>
      <w:spacing w:val="4"/>
      <w:kern w:val="28"/>
      <w:sz w:val="56"/>
      <w:szCs w:val="32"/>
      <w:lang w:eastAsia="de-AT"/>
    </w:rPr>
  </w:style>
  <w:style w:type="character" w:styleId="EndnoteReference">
    <w:name w:val="endnote reference"/>
    <w:uiPriority w:val="99"/>
    <w:semiHidden/>
    <w:rsid w:val="009242AD"/>
    <w:rPr>
      <w:rFonts w:ascii="Letter Gothic" w:hAnsi="Letter Gothic"/>
      <w:sz w:val="20"/>
      <w:vertAlign w:val="superscript"/>
    </w:rPr>
  </w:style>
  <w:style w:type="character" w:styleId="CommentReference">
    <w:name w:val="annotation reference"/>
    <w:uiPriority w:val="99"/>
    <w:semiHidden/>
    <w:rsid w:val="009242AD"/>
    <w:rPr>
      <w:rFonts w:ascii="Letter Gothic" w:hAnsi="Letter Gothic"/>
      <w:sz w:val="16"/>
    </w:rPr>
  </w:style>
  <w:style w:type="character" w:styleId="FootnoteReference">
    <w:name w:val="footnote reference"/>
    <w:uiPriority w:val="99"/>
    <w:semiHidden/>
    <w:rsid w:val="009242AD"/>
    <w:rPr>
      <w:rFonts w:ascii="Letter Gothic" w:hAnsi="Letter Gothic"/>
      <w:sz w:val="20"/>
      <w:vertAlign w:val="superscript"/>
    </w:rPr>
  </w:style>
  <w:style w:type="paragraph" w:styleId="Index1">
    <w:name w:val="index 1"/>
    <w:basedOn w:val="Normal"/>
    <w:next w:val="Normal"/>
    <w:semiHidden/>
    <w:rsid w:val="009242AD"/>
    <w:pPr>
      <w:tabs>
        <w:tab w:val="right" w:leader="dot" w:pos="9072"/>
      </w:tabs>
      <w:spacing w:line="240" w:lineRule="auto"/>
      <w:ind w:left="200" w:hanging="200"/>
    </w:pPr>
    <w:rPr>
      <w:rFonts w:ascii="Letter Gothic" w:eastAsia="Times New Roman" w:hAnsi="Letter Gothic"/>
      <w:spacing w:val="0"/>
      <w:sz w:val="20"/>
      <w:szCs w:val="20"/>
      <w:lang w:val="de-DE"/>
    </w:rPr>
  </w:style>
  <w:style w:type="paragraph" w:styleId="IndexHeading">
    <w:name w:val="index heading"/>
    <w:basedOn w:val="Normal"/>
    <w:next w:val="Index1"/>
    <w:semiHidden/>
    <w:rsid w:val="009242AD"/>
    <w:pPr>
      <w:spacing w:line="240" w:lineRule="auto"/>
    </w:pPr>
    <w:rPr>
      <w:rFonts w:ascii="Letter Gothic" w:eastAsia="Times New Roman" w:hAnsi="Letter Gothic"/>
      <w:b/>
      <w:spacing w:val="0"/>
      <w:sz w:val="20"/>
      <w:szCs w:val="20"/>
      <w:lang w:val="de-DE"/>
    </w:rPr>
  </w:style>
  <w:style w:type="character" w:styleId="PageNumber">
    <w:name w:val="page number"/>
    <w:rsid w:val="009242AD"/>
    <w:rPr>
      <w:rFonts w:ascii="Letter Gothic" w:hAnsi="Letter Gothic"/>
      <w:sz w:val="20"/>
    </w:rPr>
  </w:style>
  <w:style w:type="paragraph" w:styleId="Subtitle">
    <w:name w:val="Subtitle"/>
    <w:basedOn w:val="Normal"/>
    <w:link w:val="SubtitleChar"/>
    <w:qFormat/>
    <w:rsid w:val="009242AD"/>
    <w:pPr>
      <w:spacing w:after="60" w:line="240" w:lineRule="auto"/>
      <w:jc w:val="center"/>
    </w:pPr>
    <w:rPr>
      <w:rFonts w:ascii="Letter Gothic" w:eastAsia="Times New Roman" w:hAnsi="Letter Gothic"/>
      <w:spacing w:val="0"/>
      <w:sz w:val="24"/>
      <w:szCs w:val="20"/>
      <w:lang w:val="de-DE"/>
    </w:rPr>
  </w:style>
  <w:style w:type="character" w:customStyle="1" w:styleId="SubtitleChar">
    <w:name w:val="Subtitle Char"/>
    <w:basedOn w:val="DefaultParagraphFont"/>
    <w:link w:val="Subtitle"/>
    <w:rsid w:val="009242AD"/>
    <w:rPr>
      <w:rFonts w:ascii="Letter Gothic" w:eastAsia="Times New Roman" w:hAnsi="Letter Gothic"/>
      <w:sz w:val="24"/>
      <w:lang w:val="de-DE" w:eastAsia="de-AT"/>
    </w:rPr>
  </w:style>
  <w:style w:type="character" w:styleId="LineNumber">
    <w:name w:val="line number"/>
    <w:rsid w:val="009242AD"/>
    <w:rPr>
      <w:rFonts w:ascii="Letter Gothic" w:hAnsi="Letter Gothic"/>
      <w:sz w:val="20"/>
    </w:rPr>
  </w:style>
  <w:style w:type="paragraph" w:styleId="TOAHeading">
    <w:name w:val="toa heading"/>
    <w:basedOn w:val="Normal"/>
    <w:next w:val="Normal"/>
    <w:semiHidden/>
    <w:rsid w:val="009242AD"/>
    <w:pPr>
      <w:spacing w:before="120" w:line="240" w:lineRule="auto"/>
    </w:pPr>
    <w:rPr>
      <w:rFonts w:ascii="Letter Gothic" w:eastAsia="Times New Roman" w:hAnsi="Letter Gothic"/>
      <w:b/>
      <w:spacing w:val="0"/>
      <w:sz w:val="24"/>
      <w:szCs w:val="20"/>
      <w:lang w:val="de-DE"/>
    </w:rPr>
  </w:style>
  <w:style w:type="paragraph" w:styleId="TableofAuthorities">
    <w:name w:val="table of authorities"/>
    <w:basedOn w:val="Normal"/>
    <w:next w:val="Normal"/>
    <w:semiHidden/>
    <w:rsid w:val="009242AD"/>
    <w:pPr>
      <w:tabs>
        <w:tab w:val="right" w:leader="dot" w:pos="9072"/>
      </w:tabs>
      <w:spacing w:line="240" w:lineRule="auto"/>
      <w:ind w:left="200" w:hanging="200"/>
    </w:pPr>
    <w:rPr>
      <w:rFonts w:ascii="Letter Gothic" w:eastAsia="Times New Roman" w:hAnsi="Letter Gothic"/>
      <w:spacing w:val="0"/>
      <w:sz w:val="20"/>
      <w:szCs w:val="20"/>
      <w:lang w:val="de-DE"/>
    </w:rPr>
  </w:style>
  <w:style w:type="table" w:styleId="TableGrid">
    <w:name w:val="Table Grid"/>
    <w:basedOn w:val="TableNormal"/>
    <w:rsid w:val="009242AD"/>
    <w:pPr>
      <w:spacing w:line="240" w:lineRule="exac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9242AD"/>
    <w:pPr>
      <w:spacing w:line="240" w:lineRule="auto"/>
      <w:ind w:left="720"/>
      <w:contextualSpacing/>
    </w:pPr>
    <w:rPr>
      <w:rFonts w:ascii="Letter Gothic" w:eastAsia="Times New Roman" w:hAnsi="Letter Gothic"/>
      <w:spacing w:val="0"/>
      <w:sz w:val="20"/>
      <w:szCs w:val="20"/>
      <w:lang w:val="de-DE"/>
    </w:rPr>
  </w:style>
  <w:style w:type="paragraph" w:customStyle="1" w:styleId="Body">
    <w:name w:val="Body"/>
    <w:rsid w:val="009242AD"/>
    <w:pPr>
      <w:pBdr>
        <w:top w:val="nil"/>
        <w:left w:val="nil"/>
        <w:bottom w:val="nil"/>
        <w:right w:val="nil"/>
        <w:between w:val="nil"/>
        <w:bar w:val="nil"/>
      </w:pBdr>
    </w:pPr>
    <w:rPr>
      <w:rFonts w:ascii="Arial Unicode MS" w:eastAsia="Arial Unicode MS" w:hAnsi="Arial Unicode MS" w:cs="Arial Unicode MS"/>
      <w:color w:val="000000"/>
      <w:u w:color="000000"/>
      <w:bdr w:val="nil"/>
    </w:rPr>
  </w:style>
  <w:style w:type="table" w:styleId="TableSimple2">
    <w:name w:val="Table Simple 2"/>
    <w:basedOn w:val="TableNormal"/>
    <w:rsid w:val="009242AD"/>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Bodytext45">
    <w:name w:val="Body text (45)_"/>
    <w:basedOn w:val="DefaultParagraphFont"/>
    <w:rsid w:val="009242AD"/>
    <w:rPr>
      <w:rFonts w:ascii="Candara" w:eastAsia="Candara" w:hAnsi="Candara" w:cs="Candara"/>
      <w:b w:val="0"/>
      <w:bCs w:val="0"/>
      <w:i w:val="0"/>
      <w:iCs w:val="0"/>
      <w:smallCaps w:val="0"/>
      <w:strike w:val="0"/>
      <w:sz w:val="19"/>
      <w:szCs w:val="19"/>
      <w:u w:val="none"/>
    </w:rPr>
  </w:style>
  <w:style w:type="character" w:customStyle="1" w:styleId="Bodytext450">
    <w:name w:val="Body text (45)"/>
    <w:basedOn w:val="Bodytext45"/>
    <w:rsid w:val="009242AD"/>
    <w:rPr>
      <w:rFonts w:ascii="Candara" w:eastAsia="Candara" w:hAnsi="Candara" w:cs="Candara"/>
      <w:b w:val="0"/>
      <w:bCs w:val="0"/>
      <w:i w:val="0"/>
      <w:iCs w:val="0"/>
      <w:smallCaps w:val="0"/>
      <w:strike w:val="0"/>
      <w:color w:val="58595C"/>
      <w:spacing w:val="0"/>
      <w:w w:val="100"/>
      <w:position w:val="0"/>
      <w:sz w:val="19"/>
      <w:szCs w:val="19"/>
      <w:u w:val="none"/>
      <w:lang w:val="en-US" w:eastAsia="en-US" w:bidi="en-US"/>
    </w:rPr>
  </w:style>
  <w:style w:type="character" w:customStyle="1" w:styleId="Bodytext89">
    <w:name w:val="Body text (89)"/>
    <w:basedOn w:val="DefaultParagraphFont"/>
    <w:rsid w:val="009242AD"/>
    <w:rPr>
      <w:rFonts w:ascii="Candara" w:eastAsia="Candara" w:hAnsi="Candara" w:cs="Candara"/>
      <w:b w:val="0"/>
      <w:bCs w:val="0"/>
      <w:i w:val="0"/>
      <w:iCs w:val="0"/>
      <w:smallCaps w:val="0"/>
      <w:strike w:val="0"/>
      <w:color w:val="58595C"/>
      <w:spacing w:val="0"/>
      <w:w w:val="100"/>
      <w:position w:val="0"/>
      <w:sz w:val="19"/>
      <w:szCs w:val="19"/>
      <w:u w:val="none"/>
      <w:lang w:val="en-US" w:eastAsia="en-US" w:bidi="en-US"/>
    </w:rPr>
  </w:style>
  <w:style w:type="paragraph" w:styleId="EndnoteText">
    <w:name w:val="endnote text"/>
    <w:basedOn w:val="Normal"/>
    <w:link w:val="EndnoteTextChar"/>
    <w:uiPriority w:val="99"/>
    <w:semiHidden/>
    <w:unhideWhenUsed/>
    <w:rsid w:val="001E2111"/>
    <w:pPr>
      <w:spacing w:line="240" w:lineRule="auto"/>
    </w:pPr>
    <w:rPr>
      <w:sz w:val="20"/>
      <w:szCs w:val="20"/>
    </w:rPr>
  </w:style>
  <w:style w:type="character" w:customStyle="1" w:styleId="EndnoteTextChar">
    <w:name w:val="Endnote Text Char"/>
    <w:basedOn w:val="DefaultParagraphFont"/>
    <w:link w:val="EndnoteText"/>
    <w:uiPriority w:val="99"/>
    <w:semiHidden/>
    <w:rsid w:val="001E2111"/>
    <w:rPr>
      <w:spacing w:val="4"/>
      <w:lang w:eastAsia="de-AT"/>
    </w:rPr>
  </w:style>
  <w:style w:type="paragraph" w:customStyle="1" w:styleId="Default">
    <w:name w:val="Default"/>
    <w:rsid w:val="001107B0"/>
    <w:pPr>
      <w:autoSpaceDE w:val="0"/>
      <w:autoSpaceDN w:val="0"/>
      <w:adjustRightInd w:val="0"/>
    </w:pPr>
    <w:rPr>
      <w:rFonts w:ascii="Times New Roman" w:eastAsia="Times New Roman" w:hAnsi="Times New Roman"/>
      <w:color w:val="000000"/>
      <w:sz w:val="24"/>
      <w:szCs w:val="24"/>
    </w:rPr>
  </w:style>
  <w:style w:type="paragraph" w:styleId="CommentText">
    <w:name w:val="annotation text"/>
    <w:basedOn w:val="Normal"/>
    <w:link w:val="CommentTextChar"/>
    <w:uiPriority w:val="99"/>
    <w:unhideWhenUsed/>
    <w:rsid w:val="00972AB8"/>
    <w:pPr>
      <w:spacing w:line="240" w:lineRule="auto"/>
    </w:pPr>
    <w:rPr>
      <w:sz w:val="20"/>
      <w:szCs w:val="20"/>
    </w:rPr>
  </w:style>
  <w:style w:type="character" w:customStyle="1" w:styleId="CommentTextChar">
    <w:name w:val="Comment Text Char"/>
    <w:basedOn w:val="DefaultParagraphFont"/>
    <w:link w:val="CommentText"/>
    <w:uiPriority w:val="99"/>
    <w:rsid w:val="00972AB8"/>
    <w:rPr>
      <w:spacing w:val="4"/>
      <w:lang w:eastAsia="de-AT"/>
    </w:rPr>
  </w:style>
  <w:style w:type="paragraph" w:styleId="CommentSubject">
    <w:name w:val="annotation subject"/>
    <w:basedOn w:val="CommentText"/>
    <w:next w:val="CommentText"/>
    <w:link w:val="CommentSubjectChar"/>
    <w:uiPriority w:val="99"/>
    <w:semiHidden/>
    <w:unhideWhenUsed/>
    <w:rsid w:val="00432809"/>
    <w:rPr>
      <w:b/>
      <w:bCs/>
    </w:rPr>
  </w:style>
  <w:style w:type="character" w:customStyle="1" w:styleId="CommentSubjectChar">
    <w:name w:val="Comment Subject Char"/>
    <w:basedOn w:val="CommentTextChar"/>
    <w:link w:val="CommentSubject"/>
    <w:uiPriority w:val="99"/>
    <w:semiHidden/>
    <w:rsid w:val="00432809"/>
    <w:rPr>
      <w:b/>
      <w:bCs/>
      <w:spacing w:val="4"/>
      <w:lang w:eastAsia="de-AT"/>
    </w:rPr>
  </w:style>
  <w:style w:type="paragraph" w:styleId="FootnoteText">
    <w:name w:val="footnote text"/>
    <w:basedOn w:val="Normal"/>
    <w:link w:val="FootnoteTextChar"/>
    <w:uiPriority w:val="99"/>
    <w:semiHidden/>
    <w:unhideWhenUsed/>
    <w:rsid w:val="00A01AC3"/>
    <w:pPr>
      <w:spacing w:line="240" w:lineRule="auto"/>
    </w:pPr>
    <w:rPr>
      <w:sz w:val="20"/>
      <w:szCs w:val="20"/>
    </w:rPr>
  </w:style>
  <w:style w:type="character" w:customStyle="1" w:styleId="FootnoteTextChar">
    <w:name w:val="Footnote Text Char"/>
    <w:basedOn w:val="DefaultParagraphFont"/>
    <w:link w:val="FootnoteText"/>
    <w:uiPriority w:val="99"/>
    <w:semiHidden/>
    <w:rsid w:val="00A01AC3"/>
    <w:rPr>
      <w:spacing w:val="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12950">
      <w:bodyDiv w:val="1"/>
      <w:marLeft w:val="0"/>
      <w:marRight w:val="0"/>
      <w:marTop w:val="0"/>
      <w:marBottom w:val="0"/>
      <w:divBdr>
        <w:top w:val="none" w:sz="0" w:space="0" w:color="auto"/>
        <w:left w:val="none" w:sz="0" w:space="0" w:color="auto"/>
        <w:bottom w:val="none" w:sz="0" w:space="0" w:color="auto"/>
        <w:right w:val="none" w:sz="0" w:space="0" w:color="auto"/>
      </w:divBdr>
    </w:div>
    <w:div w:id="224488536">
      <w:bodyDiv w:val="1"/>
      <w:marLeft w:val="0"/>
      <w:marRight w:val="0"/>
      <w:marTop w:val="0"/>
      <w:marBottom w:val="0"/>
      <w:divBdr>
        <w:top w:val="none" w:sz="0" w:space="0" w:color="auto"/>
        <w:left w:val="none" w:sz="0" w:space="0" w:color="auto"/>
        <w:bottom w:val="none" w:sz="0" w:space="0" w:color="auto"/>
        <w:right w:val="none" w:sz="0" w:space="0" w:color="auto"/>
      </w:divBdr>
    </w:div>
    <w:div w:id="224876460">
      <w:bodyDiv w:val="1"/>
      <w:marLeft w:val="0"/>
      <w:marRight w:val="0"/>
      <w:marTop w:val="0"/>
      <w:marBottom w:val="0"/>
      <w:divBdr>
        <w:top w:val="none" w:sz="0" w:space="0" w:color="auto"/>
        <w:left w:val="none" w:sz="0" w:space="0" w:color="auto"/>
        <w:bottom w:val="none" w:sz="0" w:space="0" w:color="auto"/>
        <w:right w:val="none" w:sz="0" w:space="0" w:color="auto"/>
      </w:divBdr>
    </w:div>
    <w:div w:id="307323173">
      <w:bodyDiv w:val="1"/>
      <w:marLeft w:val="0"/>
      <w:marRight w:val="0"/>
      <w:marTop w:val="0"/>
      <w:marBottom w:val="0"/>
      <w:divBdr>
        <w:top w:val="none" w:sz="0" w:space="0" w:color="auto"/>
        <w:left w:val="none" w:sz="0" w:space="0" w:color="auto"/>
        <w:bottom w:val="none" w:sz="0" w:space="0" w:color="auto"/>
        <w:right w:val="none" w:sz="0" w:space="0" w:color="auto"/>
      </w:divBdr>
    </w:div>
    <w:div w:id="402870195">
      <w:bodyDiv w:val="1"/>
      <w:marLeft w:val="0"/>
      <w:marRight w:val="0"/>
      <w:marTop w:val="0"/>
      <w:marBottom w:val="0"/>
      <w:divBdr>
        <w:top w:val="none" w:sz="0" w:space="0" w:color="auto"/>
        <w:left w:val="none" w:sz="0" w:space="0" w:color="auto"/>
        <w:bottom w:val="none" w:sz="0" w:space="0" w:color="auto"/>
        <w:right w:val="none" w:sz="0" w:space="0" w:color="auto"/>
      </w:divBdr>
    </w:div>
    <w:div w:id="423838352">
      <w:bodyDiv w:val="1"/>
      <w:marLeft w:val="0"/>
      <w:marRight w:val="0"/>
      <w:marTop w:val="0"/>
      <w:marBottom w:val="0"/>
      <w:divBdr>
        <w:top w:val="none" w:sz="0" w:space="0" w:color="auto"/>
        <w:left w:val="none" w:sz="0" w:space="0" w:color="auto"/>
        <w:bottom w:val="none" w:sz="0" w:space="0" w:color="auto"/>
        <w:right w:val="none" w:sz="0" w:space="0" w:color="auto"/>
      </w:divBdr>
    </w:div>
    <w:div w:id="435562324">
      <w:bodyDiv w:val="1"/>
      <w:marLeft w:val="0"/>
      <w:marRight w:val="0"/>
      <w:marTop w:val="0"/>
      <w:marBottom w:val="0"/>
      <w:divBdr>
        <w:top w:val="none" w:sz="0" w:space="0" w:color="auto"/>
        <w:left w:val="none" w:sz="0" w:space="0" w:color="auto"/>
        <w:bottom w:val="none" w:sz="0" w:space="0" w:color="auto"/>
        <w:right w:val="none" w:sz="0" w:space="0" w:color="auto"/>
      </w:divBdr>
    </w:div>
    <w:div w:id="482428041">
      <w:bodyDiv w:val="1"/>
      <w:marLeft w:val="0"/>
      <w:marRight w:val="0"/>
      <w:marTop w:val="0"/>
      <w:marBottom w:val="0"/>
      <w:divBdr>
        <w:top w:val="none" w:sz="0" w:space="0" w:color="auto"/>
        <w:left w:val="none" w:sz="0" w:space="0" w:color="auto"/>
        <w:bottom w:val="none" w:sz="0" w:space="0" w:color="auto"/>
        <w:right w:val="none" w:sz="0" w:space="0" w:color="auto"/>
      </w:divBdr>
    </w:div>
    <w:div w:id="573777587">
      <w:bodyDiv w:val="1"/>
      <w:marLeft w:val="0"/>
      <w:marRight w:val="0"/>
      <w:marTop w:val="0"/>
      <w:marBottom w:val="0"/>
      <w:divBdr>
        <w:top w:val="none" w:sz="0" w:space="0" w:color="auto"/>
        <w:left w:val="none" w:sz="0" w:space="0" w:color="auto"/>
        <w:bottom w:val="none" w:sz="0" w:space="0" w:color="auto"/>
        <w:right w:val="none" w:sz="0" w:space="0" w:color="auto"/>
      </w:divBdr>
    </w:div>
    <w:div w:id="630399477">
      <w:bodyDiv w:val="1"/>
      <w:marLeft w:val="0"/>
      <w:marRight w:val="0"/>
      <w:marTop w:val="0"/>
      <w:marBottom w:val="0"/>
      <w:divBdr>
        <w:top w:val="none" w:sz="0" w:space="0" w:color="auto"/>
        <w:left w:val="none" w:sz="0" w:space="0" w:color="auto"/>
        <w:bottom w:val="none" w:sz="0" w:space="0" w:color="auto"/>
        <w:right w:val="none" w:sz="0" w:space="0" w:color="auto"/>
      </w:divBdr>
    </w:div>
    <w:div w:id="745615175">
      <w:bodyDiv w:val="1"/>
      <w:marLeft w:val="0"/>
      <w:marRight w:val="0"/>
      <w:marTop w:val="0"/>
      <w:marBottom w:val="0"/>
      <w:divBdr>
        <w:top w:val="none" w:sz="0" w:space="0" w:color="auto"/>
        <w:left w:val="none" w:sz="0" w:space="0" w:color="auto"/>
        <w:bottom w:val="none" w:sz="0" w:space="0" w:color="auto"/>
        <w:right w:val="none" w:sz="0" w:space="0" w:color="auto"/>
      </w:divBdr>
    </w:div>
    <w:div w:id="807672276">
      <w:bodyDiv w:val="1"/>
      <w:marLeft w:val="0"/>
      <w:marRight w:val="0"/>
      <w:marTop w:val="0"/>
      <w:marBottom w:val="0"/>
      <w:divBdr>
        <w:top w:val="none" w:sz="0" w:space="0" w:color="auto"/>
        <w:left w:val="none" w:sz="0" w:space="0" w:color="auto"/>
        <w:bottom w:val="none" w:sz="0" w:space="0" w:color="auto"/>
        <w:right w:val="none" w:sz="0" w:space="0" w:color="auto"/>
      </w:divBdr>
    </w:div>
    <w:div w:id="812985274">
      <w:bodyDiv w:val="1"/>
      <w:marLeft w:val="0"/>
      <w:marRight w:val="0"/>
      <w:marTop w:val="0"/>
      <w:marBottom w:val="0"/>
      <w:divBdr>
        <w:top w:val="none" w:sz="0" w:space="0" w:color="auto"/>
        <w:left w:val="none" w:sz="0" w:space="0" w:color="auto"/>
        <w:bottom w:val="none" w:sz="0" w:space="0" w:color="auto"/>
        <w:right w:val="none" w:sz="0" w:space="0" w:color="auto"/>
      </w:divBdr>
    </w:div>
    <w:div w:id="827208620">
      <w:bodyDiv w:val="1"/>
      <w:marLeft w:val="0"/>
      <w:marRight w:val="0"/>
      <w:marTop w:val="0"/>
      <w:marBottom w:val="0"/>
      <w:divBdr>
        <w:top w:val="none" w:sz="0" w:space="0" w:color="auto"/>
        <w:left w:val="none" w:sz="0" w:space="0" w:color="auto"/>
        <w:bottom w:val="none" w:sz="0" w:space="0" w:color="auto"/>
        <w:right w:val="none" w:sz="0" w:space="0" w:color="auto"/>
      </w:divBdr>
    </w:div>
    <w:div w:id="834803978">
      <w:bodyDiv w:val="1"/>
      <w:marLeft w:val="0"/>
      <w:marRight w:val="0"/>
      <w:marTop w:val="0"/>
      <w:marBottom w:val="0"/>
      <w:divBdr>
        <w:top w:val="none" w:sz="0" w:space="0" w:color="auto"/>
        <w:left w:val="none" w:sz="0" w:space="0" w:color="auto"/>
        <w:bottom w:val="none" w:sz="0" w:space="0" w:color="auto"/>
        <w:right w:val="none" w:sz="0" w:space="0" w:color="auto"/>
      </w:divBdr>
    </w:div>
    <w:div w:id="878857213">
      <w:bodyDiv w:val="1"/>
      <w:marLeft w:val="0"/>
      <w:marRight w:val="0"/>
      <w:marTop w:val="0"/>
      <w:marBottom w:val="0"/>
      <w:divBdr>
        <w:top w:val="none" w:sz="0" w:space="0" w:color="auto"/>
        <w:left w:val="none" w:sz="0" w:space="0" w:color="auto"/>
        <w:bottom w:val="none" w:sz="0" w:space="0" w:color="auto"/>
        <w:right w:val="none" w:sz="0" w:space="0" w:color="auto"/>
      </w:divBdr>
    </w:div>
    <w:div w:id="891229059">
      <w:bodyDiv w:val="1"/>
      <w:marLeft w:val="0"/>
      <w:marRight w:val="0"/>
      <w:marTop w:val="0"/>
      <w:marBottom w:val="0"/>
      <w:divBdr>
        <w:top w:val="none" w:sz="0" w:space="0" w:color="auto"/>
        <w:left w:val="none" w:sz="0" w:space="0" w:color="auto"/>
        <w:bottom w:val="none" w:sz="0" w:space="0" w:color="auto"/>
        <w:right w:val="none" w:sz="0" w:space="0" w:color="auto"/>
      </w:divBdr>
    </w:div>
    <w:div w:id="998968236">
      <w:bodyDiv w:val="1"/>
      <w:marLeft w:val="0"/>
      <w:marRight w:val="0"/>
      <w:marTop w:val="0"/>
      <w:marBottom w:val="0"/>
      <w:divBdr>
        <w:top w:val="none" w:sz="0" w:space="0" w:color="auto"/>
        <w:left w:val="none" w:sz="0" w:space="0" w:color="auto"/>
        <w:bottom w:val="none" w:sz="0" w:space="0" w:color="auto"/>
        <w:right w:val="none" w:sz="0" w:space="0" w:color="auto"/>
      </w:divBdr>
    </w:div>
    <w:div w:id="1054888115">
      <w:bodyDiv w:val="1"/>
      <w:marLeft w:val="0"/>
      <w:marRight w:val="0"/>
      <w:marTop w:val="0"/>
      <w:marBottom w:val="0"/>
      <w:divBdr>
        <w:top w:val="none" w:sz="0" w:space="0" w:color="auto"/>
        <w:left w:val="none" w:sz="0" w:space="0" w:color="auto"/>
        <w:bottom w:val="none" w:sz="0" w:space="0" w:color="auto"/>
        <w:right w:val="none" w:sz="0" w:space="0" w:color="auto"/>
      </w:divBdr>
    </w:div>
    <w:div w:id="1067340423">
      <w:bodyDiv w:val="1"/>
      <w:marLeft w:val="0"/>
      <w:marRight w:val="0"/>
      <w:marTop w:val="0"/>
      <w:marBottom w:val="0"/>
      <w:divBdr>
        <w:top w:val="none" w:sz="0" w:space="0" w:color="auto"/>
        <w:left w:val="none" w:sz="0" w:space="0" w:color="auto"/>
        <w:bottom w:val="none" w:sz="0" w:space="0" w:color="auto"/>
        <w:right w:val="none" w:sz="0" w:space="0" w:color="auto"/>
      </w:divBdr>
    </w:div>
    <w:div w:id="1149664169">
      <w:bodyDiv w:val="1"/>
      <w:marLeft w:val="0"/>
      <w:marRight w:val="0"/>
      <w:marTop w:val="0"/>
      <w:marBottom w:val="0"/>
      <w:divBdr>
        <w:top w:val="none" w:sz="0" w:space="0" w:color="auto"/>
        <w:left w:val="none" w:sz="0" w:space="0" w:color="auto"/>
        <w:bottom w:val="none" w:sz="0" w:space="0" w:color="auto"/>
        <w:right w:val="none" w:sz="0" w:space="0" w:color="auto"/>
      </w:divBdr>
    </w:div>
    <w:div w:id="1203010313">
      <w:bodyDiv w:val="1"/>
      <w:marLeft w:val="0"/>
      <w:marRight w:val="0"/>
      <w:marTop w:val="0"/>
      <w:marBottom w:val="0"/>
      <w:divBdr>
        <w:top w:val="none" w:sz="0" w:space="0" w:color="auto"/>
        <w:left w:val="none" w:sz="0" w:space="0" w:color="auto"/>
        <w:bottom w:val="none" w:sz="0" w:space="0" w:color="auto"/>
        <w:right w:val="none" w:sz="0" w:space="0" w:color="auto"/>
      </w:divBdr>
    </w:div>
    <w:div w:id="1230265970">
      <w:bodyDiv w:val="1"/>
      <w:marLeft w:val="0"/>
      <w:marRight w:val="0"/>
      <w:marTop w:val="0"/>
      <w:marBottom w:val="0"/>
      <w:divBdr>
        <w:top w:val="none" w:sz="0" w:space="0" w:color="auto"/>
        <w:left w:val="none" w:sz="0" w:space="0" w:color="auto"/>
        <w:bottom w:val="none" w:sz="0" w:space="0" w:color="auto"/>
        <w:right w:val="none" w:sz="0" w:space="0" w:color="auto"/>
      </w:divBdr>
    </w:div>
    <w:div w:id="1254507715">
      <w:bodyDiv w:val="1"/>
      <w:marLeft w:val="0"/>
      <w:marRight w:val="0"/>
      <w:marTop w:val="0"/>
      <w:marBottom w:val="0"/>
      <w:divBdr>
        <w:top w:val="none" w:sz="0" w:space="0" w:color="auto"/>
        <w:left w:val="none" w:sz="0" w:space="0" w:color="auto"/>
        <w:bottom w:val="none" w:sz="0" w:space="0" w:color="auto"/>
        <w:right w:val="none" w:sz="0" w:space="0" w:color="auto"/>
      </w:divBdr>
    </w:div>
    <w:div w:id="1263299761">
      <w:bodyDiv w:val="1"/>
      <w:marLeft w:val="0"/>
      <w:marRight w:val="0"/>
      <w:marTop w:val="0"/>
      <w:marBottom w:val="0"/>
      <w:divBdr>
        <w:top w:val="none" w:sz="0" w:space="0" w:color="auto"/>
        <w:left w:val="none" w:sz="0" w:space="0" w:color="auto"/>
        <w:bottom w:val="none" w:sz="0" w:space="0" w:color="auto"/>
        <w:right w:val="none" w:sz="0" w:space="0" w:color="auto"/>
      </w:divBdr>
    </w:div>
    <w:div w:id="1372269325">
      <w:bodyDiv w:val="1"/>
      <w:marLeft w:val="0"/>
      <w:marRight w:val="0"/>
      <w:marTop w:val="0"/>
      <w:marBottom w:val="0"/>
      <w:divBdr>
        <w:top w:val="none" w:sz="0" w:space="0" w:color="auto"/>
        <w:left w:val="none" w:sz="0" w:space="0" w:color="auto"/>
        <w:bottom w:val="none" w:sz="0" w:space="0" w:color="auto"/>
        <w:right w:val="none" w:sz="0" w:space="0" w:color="auto"/>
      </w:divBdr>
    </w:div>
    <w:div w:id="1404598957">
      <w:bodyDiv w:val="1"/>
      <w:marLeft w:val="0"/>
      <w:marRight w:val="0"/>
      <w:marTop w:val="0"/>
      <w:marBottom w:val="0"/>
      <w:divBdr>
        <w:top w:val="none" w:sz="0" w:space="0" w:color="auto"/>
        <w:left w:val="none" w:sz="0" w:space="0" w:color="auto"/>
        <w:bottom w:val="none" w:sz="0" w:space="0" w:color="auto"/>
        <w:right w:val="none" w:sz="0" w:space="0" w:color="auto"/>
      </w:divBdr>
    </w:div>
    <w:div w:id="1412001326">
      <w:bodyDiv w:val="1"/>
      <w:marLeft w:val="0"/>
      <w:marRight w:val="0"/>
      <w:marTop w:val="0"/>
      <w:marBottom w:val="0"/>
      <w:divBdr>
        <w:top w:val="none" w:sz="0" w:space="0" w:color="auto"/>
        <w:left w:val="none" w:sz="0" w:space="0" w:color="auto"/>
        <w:bottom w:val="none" w:sz="0" w:space="0" w:color="auto"/>
        <w:right w:val="none" w:sz="0" w:space="0" w:color="auto"/>
      </w:divBdr>
    </w:div>
    <w:div w:id="1570072914">
      <w:bodyDiv w:val="1"/>
      <w:marLeft w:val="0"/>
      <w:marRight w:val="0"/>
      <w:marTop w:val="0"/>
      <w:marBottom w:val="0"/>
      <w:divBdr>
        <w:top w:val="none" w:sz="0" w:space="0" w:color="auto"/>
        <w:left w:val="none" w:sz="0" w:space="0" w:color="auto"/>
        <w:bottom w:val="none" w:sz="0" w:space="0" w:color="auto"/>
        <w:right w:val="none" w:sz="0" w:space="0" w:color="auto"/>
      </w:divBdr>
    </w:div>
    <w:div w:id="1656177585">
      <w:bodyDiv w:val="1"/>
      <w:marLeft w:val="0"/>
      <w:marRight w:val="0"/>
      <w:marTop w:val="0"/>
      <w:marBottom w:val="0"/>
      <w:divBdr>
        <w:top w:val="none" w:sz="0" w:space="0" w:color="auto"/>
        <w:left w:val="none" w:sz="0" w:space="0" w:color="auto"/>
        <w:bottom w:val="none" w:sz="0" w:space="0" w:color="auto"/>
        <w:right w:val="none" w:sz="0" w:space="0" w:color="auto"/>
      </w:divBdr>
    </w:div>
    <w:div w:id="1659185938">
      <w:bodyDiv w:val="1"/>
      <w:marLeft w:val="0"/>
      <w:marRight w:val="0"/>
      <w:marTop w:val="0"/>
      <w:marBottom w:val="0"/>
      <w:divBdr>
        <w:top w:val="none" w:sz="0" w:space="0" w:color="auto"/>
        <w:left w:val="none" w:sz="0" w:space="0" w:color="auto"/>
        <w:bottom w:val="none" w:sz="0" w:space="0" w:color="auto"/>
        <w:right w:val="none" w:sz="0" w:space="0" w:color="auto"/>
      </w:divBdr>
    </w:div>
    <w:div w:id="1663969048">
      <w:bodyDiv w:val="1"/>
      <w:marLeft w:val="0"/>
      <w:marRight w:val="0"/>
      <w:marTop w:val="0"/>
      <w:marBottom w:val="0"/>
      <w:divBdr>
        <w:top w:val="none" w:sz="0" w:space="0" w:color="auto"/>
        <w:left w:val="none" w:sz="0" w:space="0" w:color="auto"/>
        <w:bottom w:val="none" w:sz="0" w:space="0" w:color="auto"/>
        <w:right w:val="none" w:sz="0" w:space="0" w:color="auto"/>
      </w:divBdr>
    </w:div>
    <w:div w:id="1668438741">
      <w:bodyDiv w:val="1"/>
      <w:marLeft w:val="0"/>
      <w:marRight w:val="0"/>
      <w:marTop w:val="0"/>
      <w:marBottom w:val="0"/>
      <w:divBdr>
        <w:top w:val="none" w:sz="0" w:space="0" w:color="auto"/>
        <w:left w:val="none" w:sz="0" w:space="0" w:color="auto"/>
        <w:bottom w:val="none" w:sz="0" w:space="0" w:color="auto"/>
        <w:right w:val="none" w:sz="0" w:space="0" w:color="auto"/>
      </w:divBdr>
    </w:div>
    <w:div w:id="1749499696">
      <w:bodyDiv w:val="1"/>
      <w:marLeft w:val="0"/>
      <w:marRight w:val="0"/>
      <w:marTop w:val="0"/>
      <w:marBottom w:val="0"/>
      <w:divBdr>
        <w:top w:val="none" w:sz="0" w:space="0" w:color="auto"/>
        <w:left w:val="none" w:sz="0" w:space="0" w:color="auto"/>
        <w:bottom w:val="none" w:sz="0" w:space="0" w:color="auto"/>
        <w:right w:val="none" w:sz="0" w:space="0" w:color="auto"/>
      </w:divBdr>
    </w:div>
    <w:div w:id="1852984431">
      <w:bodyDiv w:val="1"/>
      <w:marLeft w:val="0"/>
      <w:marRight w:val="0"/>
      <w:marTop w:val="0"/>
      <w:marBottom w:val="0"/>
      <w:divBdr>
        <w:top w:val="none" w:sz="0" w:space="0" w:color="auto"/>
        <w:left w:val="none" w:sz="0" w:space="0" w:color="auto"/>
        <w:bottom w:val="none" w:sz="0" w:space="0" w:color="auto"/>
        <w:right w:val="none" w:sz="0" w:space="0" w:color="auto"/>
      </w:divBdr>
    </w:div>
    <w:div w:id="1887835539">
      <w:bodyDiv w:val="1"/>
      <w:marLeft w:val="0"/>
      <w:marRight w:val="0"/>
      <w:marTop w:val="0"/>
      <w:marBottom w:val="0"/>
      <w:divBdr>
        <w:top w:val="none" w:sz="0" w:space="0" w:color="auto"/>
        <w:left w:val="none" w:sz="0" w:space="0" w:color="auto"/>
        <w:bottom w:val="none" w:sz="0" w:space="0" w:color="auto"/>
        <w:right w:val="none" w:sz="0" w:space="0" w:color="auto"/>
      </w:divBdr>
    </w:div>
    <w:div w:id="1921140034">
      <w:bodyDiv w:val="1"/>
      <w:marLeft w:val="0"/>
      <w:marRight w:val="0"/>
      <w:marTop w:val="0"/>
      <w:marBottom w:val="0"/>
      <w:divBdr>
        <w:top w:val="none" w:sz="0" w:space="0" w:color="auto"/>
        <w:left w:val="none" w:sz="0" w:space="0" w:color="auto"/>
        <w:bottom w:val="none" w:sz="0" w:space="0" w:color="auto"/>
        <w:right w:val="none" w:sz="0" w:space="0" w:color="auto"/>
      </w:divBdr>
    </w:div>
    <w:div w:id="1938827316">
      <w:bodyDiv w:val="1"/>
      <w:marLeft w:val="0"/>
      <w:marRight w:val="0"/>
      <w:marTop w:val="0"/>
      <w:marBottom w:val="0"/>
      <w:divBdr>
        <w:top w:val="none" w:sz="0" w:space="0" w:color="auto"/>
        <w:left w:val="none" w:sz="0" w:space="0" w:color="auto"/>
        <w:bottom w:val="none" w:sz="0" w:space="0" w:color="auto"/>
        <w:right w:val="none" w:sz="0" w:space="0" w:color="auto"/>
      </w:divBdr>
    </w:div>
    <w:div w:id="1961565604">
      <w:bodyDiv w:val="1"/>
      <w:marLeft w:val="0"/>
      <w:marRight w:val="0"/>
      <w:marTop w:val="0"/>
      <w:marBottom w:val="0"/>
      <w:divBdr>
        <w:top w:val="none" w:sz="0" w:space="0" w:color="auto"/>
        <w:left w:val="none" w:sz="0" w:space="0" w:color="auto"/>
        <w:bottom w:val="none" w:sz="0" w:space="0" w:color="auto"/>
        <w:right w:val="none" w:sz="0" w:space="0" w:color="auto"/>
      </w:divBdr>
    </w:div>
    <w:div w:id="1968974214">
      <w:bodyDiv w:val="1"/>
      <w:marLeft w:val="0"/>
      <w:marRight w:val="0"/>
      <w:marTop w:val="0"/>
      <w:marBottom w:val="0"/>
      <w:divBdr>
        <w:top w:val="none" w:sz="0" w:space="0" w:color="auto"/>
        <w:left w:val="none" w:sz="0" w:space="0" w:color="auto"/>
        <w:bottom w:val="none" w:sz="0" w:space="0" w:color="auto"/>
        <w:right w:val="none" w:sz="0" w:space="0" w:color="auto"/>
      </w:divBdr>
    </w:div>
    <w:div w:id="2008627712">
      <w:bodyDiv w:val="1"/>
      <w:marLeft w:val="0"/>
      <w:marRight w:val="0"/>
      <w:marTop w:val="0"/>
      <w:marBottom w:val="0"/>
      <w:divBdr>
        <w:top w:val="none" w:sz="0" w:space="0" w:color="auto"/>
        <w:left w:val="none" w:sz="0" w:space="0" w:color="auto"/>
        <w:bottom w:val="none" w:sz="0" w:space="0" w:color="auto"/>
        <w:right w:val="none" w:sz="0" w:space="0" w:color="auto"/>
      </w:divBdr>
    </w:div>
    <w:div w:id="211289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s://www.nsi.bg/bg/content/3958/%D0%BD%D0%B0%D1%86%D0%B8%D0%BE%D0%BD%D0%B0%D0%BB%D0%BD%D0%BE-%D0%BD%D0%B8%D0%B2%D0%BE-%D0%B8%D0%BA%D0%BE%D0%BD%D0%BE%D0%BC%D0%B8%D1%87%D0%B5%D1%81%D0%BA%D0%B8-%D0%B4%D0%B5%D0%B9%D0%BD%D0%BE%D1%81%D1%82%D0%B8-%D1%84%D0%BE%D1%80%D0%BC%D0%B0-%D0%BD%D0%B0-%D1%81%D0%BE%D0%B1%D1%81%D1%82%D0%B2%D0%B5%D0%BD%D0%BE%D1%81%D1%82-%D0%BF%D0%BE%D0%BB" TargetMode="External"/><Relationship Id="rId39" Type="http://schemas.openxmlformats.org/officeDocument/2006/relationships/footer" Target="footer2.xml"/><Relationship Id="rId21" Type="http://schemas.openxmlformats.org/officeDocument/2006/relationships/image" Target="media/image9.emf"/><Relationship Id="rId34" Type="http://schemas.openxmlformats.org/officeDocument/2006/relationships/hyperlink" Target="https://www.eex.com/en/market-data/environmental-markets/auction-marke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hyperlink" Target="https://www.nsi.bg/bg/content/2516/%D1%81%D1%80%D0%B5%D0%B4%D0%BD%D0%BE%D0%B3%D0%BE%D0%B4%D0%B8%D1%88%D0%BD%D0%B8-%D0%B8%D0%BF%D1%86-%D0%BF%D1%80%D0%B5%D0%B4%D1%85%D0%BE%D0%B4%D0%BD%D0%B8%D1%82%D0%B5-12-%D0%BC%D0%B5%D1%81%D0%B5%D1%86%D0%B0-10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ex.com/en/market-data/natural-gas/egsi" TargetMode="External"/><Relationship Id="rId24" Type="http://schemas.openxmlformats.org/officeDocument/2006/relationships/image" Target="media/image12.png"/><Relationship Id="rId32" Type="http://schemas.openxmlformats.org/officeDocument/2006/relationships/image" Target="media/image17.emf"/><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emf"/><Relationship Id="rId31" Type="http://schemas.openxmlformats.org/officeDocument/2006/relationships/image" Target="media/image1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10.emf"/><Relationship Id="rId27" Type="http://schemas.openxmlformats.org/officeDocument/2006/relationships/image" Target="media/image14.png"/><Relationship Id="rId30" Type="http://schemas.openxmlformats.org/officeDocument/2006/relationships/hyperlink" Target="https://www.eex.com/en/market-data/natural-gas/egsi" TargetMode="External"/><Relationship Id="rId35" Type="http://schemas.openxmlformats.org/officeDocument/2006/relationships/hyperlink" Target="https://www.eex.com/en/market-data/environmental-markets/auction-marke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eex.com/en/market-data/environmental-markets/derivatives-market"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hyperlink" Target="http://eea.government.bg/bg/r-r/r-te/vazhno10/view" TargetMode="External"/><Relationship Id="rId3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8.wmf"/></Relationships>
</file>

<file path=word/theme/theme1.xml><?xml version="1.0" encoding="utf-8"?>
<a:theme xmlns:a="http://schemas.openxmlformats.org/drawingml/2006/main" name="Office Theme">
  <a:themeElements>
    <a:clrScheme name="EVN">
      <a:dk1>
        <a:sysClr val="windowText" lastClr="000000"/>
      </a:dk1>
      <a:lt1>
        <a:srgbClr val="8C8C8C"/>
      </a:lt1>
      <a:dk2>
        <a:srgbClr val="E0001B"/>
      </a:dk2>
      <a:lt2>
        <a:srgbClr val="E0001B"/>
      </a:lt2>
      <a:accent1>
        <a:srgbClr val="FFFFFF"/>
      </a:accent1>
      <a:accent2>
        <a:srgbClr val="FFFFFF"/>
      </a:accent2>
      <a:accent3>
        <a:srgbClr val="FFFFFF"/>
      </a:accent3>
      <a:accent4>
        <a:srgbClr val="FFFFFF"/>
      </a:accent4>
      <a:accent5>
        <a:srgbClr val="FFFFFF"/>
      </a:accent5>
      <a:accent6>
        <a:srgbClr val="FFFFFF"/>
      </a:accent6>
      <a:hlink>
        <a:srgbClr val="0070C0"/>
      </a:hlink>
      <a:folHlink>
        <a:srgbClr val="0070C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der0 xmlns="9aa13bcd-28ac-499c-85ef-2ea8d2890dba" xsi:nil="true"/>
    <_x0414__x0440__x0443__x0436__x0435__x0441__x0442__x0432__x043e_ xmlns="9aa13bcd-28ac-499c-85ef-2ea8d2890dba">TP</_x0414__x0440__x0443__x0436__x0435__x0441__x0442__x0432__x043e_>
    <_x0420__x0435__x0434_ xmlns="9aa13bcd-28ac-499c-85ef-2ea8d2890dba">20</_x0420__x0435__x0434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099DFBDBE9B3848B907962BAA6FEA81" ma:contentTypeVersion="6" ma:contentTypeDescription="Create a new document." ma:contentTypeScope="" ma:versionID="a5b0ffc4176654175a4956c33e3f0136">
  <xsd:schema xmlns:xsd="http://www.w3.org/2001/XMLSchema" xmlns:xs="http://www.w3.org/2001/XMLSchema" xmlns:p="http://schemas.microsoft.com/office/2006/metadata/properties" xmlns:ns2="9aa13bcd-28ac-499c-85ef-2ea8d2890dba" xmlns:ns3="c0124f6d-dad5-4a34-9141-9e26d6dc4558" targetNamespace="http://schemas.microsoft.com/office/2006/metadata/properties" ma:root="true" ma:fieldsID="35c161fe6d446992889ff2970b107152" ns2:_="" ns3:_="">
    <xsd:import namespace="9aa13bcd-28ac-499c-85ef-2ea8d2890dba"/>
    <xsd:import namespace="c0124f6d-dad5-4a34-9141-9e26d6dc4558"/>
    <xsd:element name="properties">
      <xsd:complexType>
        <xsd:sequence>
          <xsd:element name="documentManagement">
            <xsd:complexType>
              <xsd:all>
                <xsd:element ref="ns2:Order0" minOccurs="0"/>
                <xsd:element ref="ns2:_x0414__x0440__x0443__x0436__x0435__x0441__x0442__x0432__x043e_" minOccurs="0"/>
                <xsd:element ref="ns2:_x0420__x0435__x0434_"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13bcd-28ac-499c-85ef-2ea8d2890dba" elementFormDefault="qualified">
    <xsd:import namespace="http://schemas.microsoft.com/office/2006/documentManagement/types"/>
    <xsd:import namespace="http://schemas.microsoft.com/office/infopath/2007/PartnerControls"/>
    <xsd:element name="Order0" ma:index="8" nillable="true" ma:displayName="Order" ma:internalName="Order0">
      <xsd:simpleType>
        <xsd:restriction base="dms:Number"/>
      </xsd:simpleType>
    </xsd:element>
    <xsd:element name="_x0414__x0440__x0443__x0436__x0435__x0441__x0442__x0432__x043e_" ma:index="9" nillable="true" ma:displayName="Дружество" ma:internalName="_x0414__x0440__x0443__x0436__x0435__x0441__x0442__x0432__x043e_">
      <xsd:simpleType>
        <xsd:restriction base="dms:Text">
          <xsd:maxLength value="255"/>
        </xsd:restriction>
      </xsd:simpleType>
    </xsd:element>
    <xsd:element name="_x0420__x0435__x0434_" ma:index="10" nillable="true" ma:displayName="Ред" ma:internalName="_x0420__x0435__x0434_">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c0124f6d-dad5-4a34-9141-9e26d6dc4558"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A61E74-2F9C-4E63-9F1D-C20BCC3EAE0C}">
  <ds:schemaRefs>
    <ds:schemaRef ds:uri="http://schemas.openxmlformats.org/package/2006/metadata/core-properties"/>
    <ds:schemaRef ds:uri="http://schemas.microsoft.com/office/2006/documentManagement/types"/>
    <ds:schemaRef ds:uri="http://purl.org/dc/elements/1.1/"/>
    <ds:schemaRef ds:uri="9aa13bcd-28ac-499c-85ef-2ea8d2890dba"/>
    <ds:schemaRef ds:uri="http://schemas.microsoft.com/office/2006/metadata/properties"/>
    <ds:schemaRef ds:uri="http://www.w3.org/XML/1998/namespace"/>
    <ds:schemaRef ds:uri="http://purl.org/dc/dcmitype/"/>
    <ds:schemaRef ds:uri="c0124f6d-dad5-4a34-9141-9e26d6dc4558"/>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6830BC28-E741-40DF-AB1D-18A4F52E1B17}">
  <ds:schemaRefs>
    <ds:schemaRef ds:uri="http://schemas.microsoft.com/sharepoint/v3/contenttype/forms"/>
  </ds:schemaRefs>
</ds:datastoreItem>
</file>

<file path=customXml/itemProps3.xml><?xml version="1.0" encoding="utf-8"?>
<ds:datastoreItem xmlns:ds="http://schemas.openxmlformats.org/officeDocument/2006/customXml" ds:itemID="{E6BC09E3-B790-4090-A647-AF7523B46BE8}">
  <ds:schemaRefs>
    <ds:schemaRef ds:uri="http://schemas.openxmlformats.org/officeDocument/2006/bibliography"/>
  </ds:schemaRefs>
</ds:datastoreItem>
</file>

<file path=customXml/itemProps4.xml><?xml version="1.0" encoding="utf-8"?>
<ds:datastoreItem xmlns:ds="http://schemas.openxmlformats.org/officeDocument/2006/customXml" ds:itemID="{D936E244-55D6-4094-B63D-24E1C256F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13bcd-28ac-499c-85ef-2ea8d2890dba"/>
    <ds:schemaRef ds:uri="c0124f6d-dad5-4a34-9141-9e26d6dc4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13646</Words>
  <Characters>77788</Characters>
  <Application>Microsoft Office Word</Application>
  <DocSecurity>0</DocSecurity>
  <Lines>648</Lines>
  <Paragraphs>182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Бланка само с лого (цветно)</vt:lpstr>
      <vt:lpstr/>
    </vt:vector>
  </TitlesOfParts>
  <Company>EVN AG</Company>
  <LinksUpToDate>false</LinksUpToDate>
  <CharactersWithSpaces>91252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Бланка само с лого (цветно)</dc:title>
  <dc:creator>Yondrova Mariya</dc:creator>
  <cp:lastModifiedBy>Bahchedzhiev Petko</cp:lastModifiedBy>
  <cp:revision>2</cp:revision>
  <cp:lastPrinted>2023-03-27T11:43:00Z</cp:lastPrinted>
  <dcterms:created xsi:type="dcterms:W3CDTF">2024-03-28T13:40:00Z</dcterms:created>
  <dcterms:modified xsi:type="dcterms:W3CDTF">2024-03-28T13:40:00Z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0x010100A099DFBDBE9B3848B907962BAA6FEA81</vt:lpwstr>
  </property>
</Properties>
</file>